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numPr>
          <w:ilvl w:val="0"/>
          <w:numId w:val="0"/>
        </w:numPr>
        <w:jc w:val="both"/>
        <w:outlineLvl w:val="0"/>
        <w:rPr/>
      </w:pPr>
      <w:r>
        <w:rPr/>
      </w:r>
      <w:bookmarkStart w:id="0" w:name="P3932"/>
    </w:p>
    <w:p>
      <w:pPr>
        <w:pStyle w:val="ConsPlusTitle"/>
        <w:jc w:val="center"/>
        <w:rPr/>
      </w:pPr>
      <w:bookmarkEnd w:id="0"/>
      <w:r>
        <w:rPr>
          <w:sz w:val="24"/>
        </w:rPr>
        <w:t>КОДЫ</w:t>
      </w:r>
    </w:p>
    <w:p>
      <w:pPr>
        <w:pStyle w:val="ConsPlusTitle"/>
        <w:jc w:val="center"/>
        <w:rPr/>
      </w:pPr>
      <w:r>
        <w:rPr>
          <w:sz w:val="24"/>
        </w:rPr>
        <w:t>ПОКАЗАТЕЛЕЙ БУХГАЛТЕРСКОЙ (ФИНАНСОВОЙ) ОТЧЕТНОСТИ,</w:t>
      </w:r>
    </w:p>
    <w:p>
      <w:pPr>
        <w:pStyle w:val="ConsPlusTitle"/>
        <w:jc w:val="center"/>
        <w:rPr/>
      </w:pPr>
      <w:r>
        <w:rPr>
          <w:sz w:val="24"/>
        </w:rPr>
        <w:t>ПРЕДСТАВЛЯЕМОЙ В НАЛОГОВЫЙ ОРГАН, В ТОМ ЧИСЛЕ В ЦЕЛЯХ</w:t>
      </w:r>
    </w:p>
    <w:p>
      <w:pPr>
        <w:pStyle w:val="ConsPlusTitle"/>
        <w:jc w:val="center"/>
        <w:rPr/>
      </w:pPr>
      <w:r>
        <w:rPr>
          <w:sz w:val="24"/>
        </w:rPr>
        <w:t>ФОРМИРОВАНИЯ ГОСУДАРСТВЕННОГО ИНФОРМАЦИОННОГО РЕСУРСА</w:t>
      </w:r>
    </w:p>
    <w:p>
      <w:pPr>
        <w:pStyle w:val="ConsPlusTitle"/>
        <w:jc w:val="center"/>
        <w:rPr/>
      </w:pPr>
      <w:r>
        <w:rPr>
          <w:sz w:val="24"/>
        </w:rPr>
        <w:t>БУХГАЛТЕРСКОЙ (ФИНАНСОВОЙ) ОТЧЕТНОСТИ, В ОРГАН</w:t>
      </w:r>
    </w:p>
    <w:p>
      <w:pPr>
        <w:pStyle w:val="ConsPlusTitle"/>
        <w:jc w:val="center"/>
        <w:rPr/>
      </w:pPr>
      <w:r>
        <w:rPr>
          <w:sz w:val="24"/>
        </w:rPr>
        <w:t>ГОСУДАРСТВЕННОЙ СТАТИСТИКИ, ДРУГИЕ ОРГАНЫ</w:t>
      </w:r>
    </w:p>
    <w:p>
      <w:pPr>
        <w:pStyle w:val="ConsPlusTitle"/>
        <w:jc w:val="center"/>
        <w:rPr/>
      </w:pPr>
      <w:r>
        <w:rPr>
          <w:sz w:val="24"/>
        </w:rPr>
        <w:t>ИСПОЛНИТЕЛЬНОЙ ВЛАСТИ</w:t>
      </w:r>
    </w:p>
    <w:p>
      <w:pPr>
        <w:pStyle w:val="ConsPlusNormal"/>
        <w:spacing w:before="0" w:after="1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"/>
        <w:gridCol w:w="112"/>
        <w:gridCol w:w="9921"/>
        <w:gridCol w:w="114"/>
      </w:tblGrid>
      <w:tr>
        <w:trPr/>
        <w:tc>
          <w:tcPr>
            <w:tcW w:w="60" w:type="dxa"/>
            <w:tcBorders/>
            <w:shd w:fill="CED3F1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2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921" w:type="dxa"/>
            <w:tcBorders/>
            <w:shd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center"/>
              <w:rPr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>
            <w:pPr>
              <w:pStyle w:val="ConsPlusNormal"/>
              <w:jc w:val="center"/>
              <w:rPr/>
            </w:pPr>
            <w:r>
              <w:rPr>
                <w:color w:val="392C69"/>
                <w:sz w:val="24"/>
              </w:rPr>
              <w:t xml:space="preserve">(в ред. </w:t>
            </w:r>
            <w:hyperlink r:id="rId2" w:tooltip="Приказ Минфина России от 07.11.2025 N 159н &quot;О внесении изменений в Федеральный стандарт бухгалтерского учета ФСБУ 4/2023 &quot;Бухгалтерская (финансовая) отчетность&quot;, утвержденный приказом Министерства финансов Российской Федерации от 4 октября 2023 г. N 157н&quot; (Зарегистрировано в Минюсте России 04.12.2025 N 84452) {КонсультантПлюс}">
              <w:r>
                <w:rPr>
                  <w:rStyle w:val="Style9"/>
                  <w:color w:val="0000FF"/>
                  <w:sz w:val="24"/>
                </w:rPr>
                <w:t>Приказа</w:t>
              </w:r>
            </w:hyperlink>
            <w:r>
              <w:rPr>
                <w:color w:val="392C69"/>
                <w:sz w:val="24"/>
              </w:rPr>
              <w:t xml:space="preserve"> Минфина России от 07.11.2025 N 159н)</w:t>
            </w:r>
          </w:p>
        </w:tc>
        <w:tc>
          <w:tcPr>
            <w:tcW w:w="114" w:type="dxa"/>
            <w:tcBorders/>
            <w:shd w:fill="F4F3F8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tbl>
      <w:tblPr>
        <w:tblW w:w="903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257"/>
        <w:gridCol w:w="1776"/>
      </w:tblGrid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Код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БУХГАЛТЕРСКИЙ БАЛАНС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1000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Итого внеоборотных активов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1100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Гудвил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1105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Нематериальные активы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1110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Нематериальные поисковые активы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1130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Материальные поисковые активы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1140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Основные средства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1150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Инвестиционная недвижимость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1160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Финансовые вложения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1170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Отложенные налоговые активы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1180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внеоборотные активы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1190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Итого оборотных активов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1200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Запасы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1210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Долгосрочные активы к продаже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1215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Налог на добавленную стоимость по приобретенным ценностям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1220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Дебиторская задолженность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1230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Финансовые вложения (за исключением денежных эквивалентов)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1240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Денежные средства и денежные эквиваленты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1250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оборотные активы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1260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БАЛАНС (актив)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1600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Итого капитал/Итого целевое финансирование (в некоммерческой организации)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1300</w:t>
            </w:r>
          </w:p>
        </w:tc>
      </w:tr>
      <w:tr>
        <w:trPr/>
        <w:tc>
          <w:tcPr>
            <w:tcW w:w="90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 xml:space="preserve">(в ред. </w:t>
            </w:r>
            <w:hyperlink r:id="rId3" w:tooltip="Приказ Минфина России от 07.11.2025 N 159н &quot;О внесении изменений в Федеральный стандарт бухгалтерского учета ФСБУ 4/2023 &quot;Бухгалтерская (финансовая) отчетность&quot;, утвержденный приказом Министерства финансов Российской Федерации от 4 октября 2023 г. N 157н&quot; (Зарегистрировано в Минюсте России 04.12.2025 N 84452) {КонсультантПлюс}">
              <w:r>
                <w:rPr>
                  <w:rStyle w:val="Style9"/>
                  <w:color w:val="0000FF"/>
                  <w:sz w:val="24"/>
                </w:rPr>
                <w:t>Приказа</w:t>
              </w:r>
            </w:hyperlink>
            <w:r>
              <w:rPr>
                <w:sz w:val="24"/>
              </w:rPr>
              <w:t xml:space="preserve"> Минфина России от 07.11.2025 N 159н)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Уставный капитал/Паевой фонд (в некоммерческой организации)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1310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Собственные акции, принадлежащие обществу, задолженность акционеров по оплате акций/Целевой капитал (в некоммерческой организации)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1320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Целевые средства (в некоммерческой организации)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1330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Накопленная дооценка внеоборотных активов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1340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Добавочный капитал (без накопленной дооценки)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1350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Резервный капитал/Фонд недвижимого и особо ценного движимого имущества (в некоммерческой организации)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1360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Нераспределенная прибыль (непокрытый убыток)/Резервный и иные целевые фонды (в некоммерческой организации)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1370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Итого долгосрочных обязательств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1400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Долгосрочные заемные средства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1410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Отложенные налоговые обязательства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1420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Долгосрочные оценочные обязательства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1430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долгосрочные обязательства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1450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Итого краткосрочных обязательств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1500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Краткосрочные заемные средства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1510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Краткосрочная кредиторская задолженность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1520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Доходы будущих периодов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1530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Краткосрочные оценочные обязательства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1540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краткосрочные обязательства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1550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БАЛАНС (пассив)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1700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ОТЧЕТ О ФИНАНСОВЫХ РЕЗУЛЬТАТАХ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2000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Выручка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2110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Себестоимость продаж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2120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Валовая прибыль (убыток)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2100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Коммерческие расходы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2210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Управленческие расходы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2220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Прибыль (убыток) от продаж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2200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Доходы от участия в других организациях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2310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Проценты к получению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2320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Проценты к уплате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2330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доходы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2340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расходы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2350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Прибыль (убыток) от продолжающейся деятельности до налогообложения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2300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Налог на прибыль организаций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2410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 том числе: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7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текущий налог на прибыль организаций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2411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отложенный налог на прибыль организаций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2412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Прибыль (убыток) от прекращаемой деятельности (за вычетом относящегося к ней налога на прибыль организаций)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2420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Прочее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2460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Чистая прибыль (убыток)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2400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Результат от переоценки внеоборотных активов, не включаемый в чистую прибыль (убыток)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2510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Результат от прочих операций, не включаемый в чистую прибыль (убыток)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2520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Налог на прибыль организаций, относящийся к результатам переоценки внеоборотных активов и прочих операций, не включаемых в чистую прибыль (убыток)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2530</w:t>
            </w:r>
          </w:p>
        </w:tc>
      </w:tr>
      <w:tr>
        <w:trPr/>
        <w:tc>
          <w:tcPr>
            <w:tcW w:w="90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sz w:val="24"/>
              </w:rPr>
            </w:pPr>
            <w:r>
              <w:rPr/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Совокупный финансовый результат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2500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Базовая прибыль (убыток) на акцию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2900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Разводненная прибыль (убыток) на акцию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2910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ОТЧЕТ ОБ ИЗМЕНЕНИЯХ КАПИТАЛА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3000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Величина капитала на 31 декабря года, предшествующего предыдущему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3100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Корректировка в связи с изменением учетной политики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3110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Корректировка в связи с исправлением ошибок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3120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Величина капитала на 31 декабря года, предшествующего предыдущему, после корректировки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3101</w:t>
            </w:r>
          </w:p>
        </w:tc>
      </w:tr>
      <w:tr>
        <w:trPr/>
        <w:tc>
          <w:tcPr>
            <w:tcW w:w="90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 xml:space="preserve">(в ред. </w:t>
            </w:r>
            <w:hyperlink r:id="rId4" w:tooltip="Приказ Минфина России от 07.11.2025 N 159н &quot;О внесении изменений в Федеральный стандарт бухгалтерского учета ФСБУ 4/2023 &quot;Бухгалтерская (финансовая) отчетность&quot;, утвержденный приказом Министерства финансов Российской Федерации от 4 октября 2023 г. N 157н&quot; (Зарегистрировано в Минюсте России 04.12.2025 N 84452) {КонсультантПлюс}">
              <w:r>
                <w:rPr>
                  <w:rStyle w:val="Style9"/>
                  <w:color w:val="0000FF"/>
                  <w:sz w:val="24"/>
                </w:rPr>
                <w:t>Приказа</w:t>
              </w:r>
            </w:hyperlink>
            <w:r>
              <w:rPr>
                <w:sz w:val="24"/>
              </w:rPr>
              <w:t xml:space="preserve"> Минфина России от 07.11.2025 N 159н)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Чистая прибыль (убыток)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3211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Переоценка внеоборотных активов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3212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Дивиденды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3227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Иные изменения за счет операций с собственниками (за исключением дивидендов) - всего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3230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 том числе: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(по видам)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3231,</w:t>
            </w:r>
          </w:p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3232...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Реорганизация юридического лица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3216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Иные изменения - всего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3240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 том числе: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(по видам)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3241,</w:t>
            </w:r>
          </w:p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3242...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Величина капитала на дату окончания периода предыдущего года, аналогичного отчетному периоду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3250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Величина капитала на 31 декабря предыдущего года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3200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Корректировка в связи с изменением учетной политики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3210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Корректировка в связи с исправлением ошибок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3220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Величина капитала на 31 декабря предыдущего года после корректировки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3201</w:t>
            </w:r>
          </w:p>
        </w:tc>
      </w:tr>
      <w:tr>
        <w:trPr/>
        <w:tc>
          <w:tcPr>
            <w:tcW w:w="90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 xml:space="preserve">(в ред. </w:t>
            </w:r>
            <w:hyperlink r:id="rId5" w:tooltip="Приказ Минфина России от 07.11.2025 N 159н &quot;О внесении изменений в Федеральный стандарт бухгалтерского учета ФСБУ 4/2023 &quot;Бухгалтерская (финансовая) отчетность&quot;, утвержденный приказом Министерства финансов Российской Федерации от 4 октября 2023 г. N 157н&quot; (Зарегистрировано в Минюсте России 04.12.2025 N 84452) {КонсультантПлюс}">
              <w:r>
                <w:rPr>
                  <w:rStyle w:val="Style9"/>
                  <w:color w:val="0000FF"/>
                  <w:sz w:val="24"/>
                </w:rPr>
                <w:t>Приказа</w:t>
              </w:r>
            </w:hyperlink>
            <w:r>
              <w:rPr>
                <w:sz w:val="24"/>
              </w:rPr>
              <w:t xml:space="preserve"> Минфина России от 07.11.2025 N 159н)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Чистая прибыль (убыток)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3311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Переоценка внеоборотных активов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3312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Дивиденды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3327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Иные изменения за счет операций с собственниками (за исключением дивидендов) - всего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3330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 том числе: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(по видам)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3331,</w:t>
            </w:r>
          </w:p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3332...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Реорганизация юридического лица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3316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Иные изменения - всего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3340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 том числе:</w:t>
            </w:r>
          </w:p>
          <w:p>
            <w:pPr>
              <w:pStyle w:val="ConsPlusNormal"/>
              <w:rPr/>
            </w:pPr>
            <w:r>
              <w:rPr>
                <w:sz w:val="24"/>
              </w:rPr>
              <w:t>(по видам)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3341,</w:t>
            </w:r>
          </w:p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3342...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Величина капитала на отчетную дату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3300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>
                <w:sz w:val="24"/>
              </w:rPr>
              <w:t>ОТЧЕТ О ДВИЖЕНИИ ДЕНЕЖНЫХ СРЕДСТВ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4000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Поступления - всего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4110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От продажи продукции, товаров, выполнения работ, оказания услуг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4111</w:t>
            </w:r>
          </w:p>
        </w:tc>
      </w:tr>
      <w:tr>
        <w:trPr/>
        <w:tc>
          <w:tcPr>
            <w:tcW w:w="90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 xml:space="preserve">(в ред. </w:t>
            </w:r>
            <w:hyperlink r:id="rId6" w:tooltip="Приказ Минфина России от 07.11.2025 N 159н &quot;О внесении изменений в Федеральный стандарт бухгалтерского учета ФСБУ 4/2023 &quot;Бухгалтерская (финансовая) отчетность&quot;, утвержденный приказом Министерства финансов Российской Федерации от 4 октября 2023 г. N 157н&quot; (Зарегистрировано в Минюсте России 04.12.2025 N 84452) {КонсультантПлюс}">
              <w:r>
                <w:rPr>
                  <w:rStyle w:val="Style9"/>
                  <w:color w:val="0000FF"/>
                  <w:sz w:val="24"/>
                </w:rPr>
                <w:t>Приказа</w:t>
              </w:r>
            </w:hyperlink>
            <w:r>
              <w:rPr>
                <w:sz w:val="24"/>
              </w:rPr>
              <w:t xml:space="preserve"> Минфина России от 07.11.2025 N 159н)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Арендных платежей, роялти, комиссионных и иных аналогичных платежей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4112</w:t>
            </w:r>
          </w:p>
        </w:tc>
      </w:tr>
      <w:tr>
        <w:trPr/>
        <w:tc>
          <w:tcPr>
            <w:tcW w:w="90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 xml:space="preserve">(в ред. </w:t>
            </w:r>
            <w:hyperlink r:id="rId7" w:tooltip="Приказ Минфина России от 07.11.2025 N 159н &quot;О внесении изменений в Федеральный стандарт бухгалтерского учета ФСБУ 4/2023 &quot;Бухгалтерская (финансовая) отчетность&quot;, утвержденный приказом Министерства финансов Российской Федерации от 4 октября 2023 г. N 157н&quot; (Зарегистрировано в Минюсте России 04.12.2025 N 84452) {КонсультантПлюс}">
              <w:r>
                <w:rPr>
                  <w:rStyle w:val="Style9"/>
                  <w:color w:val="0000FF"/>
                  <w:sz w:val="24"/>
                </w:rPr>
                <w:t>Приказа</w:t>
              </w:r>
            </w:hyperlink>
            <w:r>
              <w:rPr>
                <w:sz w:val="24"/>
              </w:rPr>
              <w:t xml:space="preserve"> Минфина России от 07.11.2025 N 159н)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От перепродажи финансовых вложений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4113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Процентов по дебиторской задолженности покупателей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4114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поступления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4119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Платежи - всего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4120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Поставщикам (подрядчикам) за сырье, материалы, выполненные работы, оказанные услуги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4121</w:t>
            </w:r>
          </w:p>
        </w:tc>
      </w:tr>
      <w:tr>
        <w:trPr/>
        <w:tc>
          <w:tcPr>
            <w:tcW w:w="90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 xml:space="preserve">(в ред. </w:t>
            </w:r>
            <w:hyperlink r:id="rId8" w:tooltip="Приказ Минфина России от 07.11.2025 N 159н &quot;О внесении изменений в Федеральный стандарт бухгалтерского учета ФСБУ 4/2023 &quot;Бухгалтерская (финансовая) отчетность&quot;, утвержденный приказом Министерства финансов Российской Федерации от 4 октября 2023 г. N 157н&quot; (Зарегистрировано в Минюсте России 04.12.2025 N 84452) {КонсультантПлюс}">
              <w:r>
                <w:rPr>
                  <w:rStyle w:val="Style9"/>
                  <w:color w:val="0000FF"/>
                  <w:sz w:val="24"/>
                </w:rPr>
                <w:t>Приказа</w:t>
              </w:r>
            </w:hyperlink>
            <w:r>
              <w:rPr>
                <w:sz w:val="24"/>
              </w:rPr>
              <w:t xml:space="preserve"> Минфина России от 07.11.2025 N 159н)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 связи с оплатой труда работников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4122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Процентов по долговым обязательствам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4123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Налога на прибыль организаций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4124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платежи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4129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Сальдо денежных потоков от текущих операций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4100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Поступления - всего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4210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От продажи внеоборотных активов (кроме финансовых вложений)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4211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От продажи акций других организаций (долей участия)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4212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От возврата предоставленных займов, от продажи долговых ценных бумаг (прав требования денежных средств к другим лицам)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4213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Дивидендов, процентов по долговым финансовым вложениям и аналогичных поступлений от долевого участия в других организациях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4214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поступления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4219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Платежи - всего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4220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 связи с приобретением, созданием, модернизацией, реконструкцией и подготовкой к использованию внеоборотных активов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4221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 связи с приобретением акций других организаций (долей участия)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4222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 связи с приобретением долговых ценных бумаг (прав требования денежных средств к другим лицам), предоставление займов другим лицам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4223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Процентов по долговым обязательствам, включаемым в стоимость инвестиционного актива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4224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платежи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4229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Сальдо денежных потоков от инвестиционных операций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4200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Поступления - всего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4310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Получение кредитов и займов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4311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Денежных вкладов собственников (участников)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4312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От выпуска акций, увеличения долей участия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4313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От выпуска облигаций, векселей и других долговых ценных бумаг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4314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поступления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4319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Платежи - всего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4320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Собственникам (участникам) в связи с выкупом у них акций (долей участия) организации или их выходом из состава участников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4321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На уплату дивидендов и иных платежей по распределению прибыли в пользу собственников (участников)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4322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 связи с погашением (выкупом) векселей и других долговых ценных бумаг, возврат кредитов и займов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4323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Прочие платежи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4329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Сальдо денежных потоков от финансовых операций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4300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Сальдо денежных потоков за период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4400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Остаток денежных средств и денежных эквивалентов на начало периода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4450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Остаток денежных средств и денежных эквивалентов на конец периода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4500</w:t>
            </w:r>
          </w:p>
        </w:tc>
      </w:tr>
      <w:tr>
        <w:trPr/>
        <w:tc>
          <w:tcPr>
            <w:tcW w:w="7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/>
            </w:pPr>
            <w:r>
              <w:rPr>
                <w:sz w:val="24"/>
              </w:rPr>
              <w:t>Величина влияния изменения курса иностранной валюты по отношению к рублю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"/>
              <w:jc w:val="center"/>
              <w:rPr/>
            </w:pPr>
            <w:r>
              <w:rPr>
                <w:sz w:val="24"/>
              </w:rPr>
              <w:t>4490</w:t>
            </w:r>
          </w:p>
        </w:tc>
      </w:tr>
      <w:tr>
        <w:trPr/>
        <w:tc>
          <w:tcPr>
            <w:tcW w:w="90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>
                <w:sz w:val="24"/>
              </w:rPr>
              <w:t xml:space="preserve">(в ред. </w:t>
            </w:r>
            <w:hyperlink r:id="rId9" w:tooltip="Приказ Минфина России от 07.11.2025 N 159н &quot;О внесении изменений в Федеральный стандарт бухгалтерского учета ФСБУ 4/2023 &quot;Бухгалтерская (финансовая) отчетность&quot;, утвержденный приказом Министерства финансов Российской Федерации от 4 октября 2023 г. N 157н&quot; (Зарегистрировано в Минюсте России 04.12.2025 N 84452) {КонсультантПлюс}">
              <w:r>
                <w:rPr>
                  <w:rStyle w:val="Style9"/>
                  <w:color w:val="0000FF"/>
                  <w:sz w:val="24"/>
                </w:rPr>
                <w:t>Приказа</w:t>
              </w:r>
            </w:hyperlink>
            <w:r>
              <w:rPr>
                <w:sz w:val="24"/>
              </w:rPr>
              <w:t xml:space="preserve"> Минфина России от 07.11.2025 N 159н)</w:t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sectPr>
      <w:headerReference w:type="even" r:id="rId10"/>
      <w:headerReference w:type="default" r:id="rId11"/>
      <w:headerReference w:type="first" r:id="rId12"/>
      <w:footerReference w:type="even" r:id="rId13"/>
      <w:footerReference w:type="default" r:id="rId14"/>
      <w:footerReference w:type="first" r:id="rId15"/>
      <w:type w:val="nextPage"/>
      <w:pgSz w:w="11906" w:h="16838"/>
      <w:pgMar w:left="1133" w:right="566" w:gutter="0" w:header="0" w:top="1440" w:footer="0" w:bottom="144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tbl>
    <w:tblPr>
      <w:tblW w:w="10230" w:type="dxa"/>
      <w:jc w:val="lef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  <w:tblLook w:noHBand="0" w:noVBand="0" w:firstColumn="0" w:lastRow="0" w:lastColumn="0" w:firstRow="0"/>
    </w:tblPr>
    <w:tblGrid>
      <w:gridCol w:w="3402"/>
      <w:gridCol w:w="3402"/>
      <w:gridCol w:w="3426"/>
    </w:tblGrid>
    <w:tr>
      <w:trPr>
        <w:trHeight w:val="1663" w:hRule="exact"/>
      </w:trPr>
      <w:tc>
        <w:tcPr>
          <w:tcW w:w="3402" w:type="dxa"/>
          <w:tcBorders/>
          <w:vAlign w:val="center"/>
        </w:tcPr>
        <w:p>
          <w:pPr>
            <w:pStyle w:val="ConsPlusNormal"/>
            <w:rPr/>
          </w:pPr>
          <w:r>
            <w:rPr>
              <w:rFonts w:cs="Tahoma" w:ascii="Tahoma" w:hAnsi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cs="Tahoma" w:ascii="Tahoma" w:hAnsi="Tahoma"/>
              <w:b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3402" w:type="dxa"/>
          <w:tcBorders/>
          <w:vAlign w:val="center"/>
        </w:tcPr>
        <w:p>
          <w:pPr>
            <w:pStyle w:val="ConsPlusNormal"/>
            <w:jc w:val="center"/>
            <w:rPr/>
          </w:pPr>
          <w:hyperlink r:id="rId1">
            <w:r>
              <w:rPr>
                <w:rStyle w:val="Style9"/>
                <w:rFonts w:cs="Tahoma" w:ascii="Tahoma" w:hAnsi="Tahoma"/>
                <w:b/>
                <w:color w:val="0000FF"/>
              </w:rPr>
              <w:t>www.consultant.ru</w:t>
            </w:r>
          </w:hyperlink>
        </w:p>
      </w:tc>
      <w:tc>
        <w:tcPr>
          <w:tcW w:w="3426" w:type="dxa"/>
          <w:tcBorders/>
          <w:vAlign w:val="center"/>
        </w:tcPr>
        <w:p>
          <w:pPr>
            <w:pStyle w:val="ConsPlusNormal"/>
            <w:jc w:val="right"/>
            <w:rPr/>
          </w:pPr>
          <w:r>
            <w:rPr>
              <w:rFonts w:cs="Tahoma" w:ascii="Tahoma" w:hAnsi="Tahoma"/>
            </w:rPr>
            <w:t xml:space="preserve">Страница </w:t>
          </w:r>
          <w:r>
            <w:rPr>
              <w:rFonts w:cs="Tahoma" w:ascii="Tahoma" w:hAnsi="Tahoma"/>
            </w:rPr>
            <w:fldChar w:fldCharType="begin"/>
          </w:r>
          <w:r>
            <w:rPr>
              <w:rFonts w:cs="Tahoma" w:ascii="Tahoma" w:hAnsi="Tahoma"/>
            </w:rPr>
            <w:instrText xml:space="preserve"> PAGE </w:instrText>
          </w:r>
          <w:r>
            <w:rPr>
              <w:rFonts w:cs="Tahoma" w:ascii="Tahoma" w:hAnsi="Tahoma"/>
            </w:rPr>
            <w:fldChar w:fldCharType="separate"/>
          </w:r>
          <w:r>
            <w:rPr>
              <w:rFonts w:cs="Tahoma" w:ascii="Tahoma" w:hAnsi="Tahoma"/>
            </w:rPr>
            <w:t>7</w:t>
          </w:r>
          <w:r>
            <w:rPr>
              <w:rFonts w:cs="Tahoma" w:ascii="Tahoma" w:hAnsi="Tahoma"/>
            </w:rPr>
            <w:fldChar w:fldCharType="end"/>
          </w:r>
          <w:r>
            <w:rPr>
              <w:rFonts w:cs="Tahoma" w:ascii="Tahoma" w:hAnsi="Tahoma"/>
            </w:rPr>
            <w:t xml:space="preserve"> из </w:t>
          </w:r>
          <w:r>
            <w:rPr>
              <w:rFonts w:cs="Tahoma" w:ascii="Tahoma" w:hAnsi="Tahoma"/>
            </w:rPr>
            <w:fldChar w:fldCharType="begin"/>
          </w:r>
          <w:r>
            <w:rPr>
              <w:rFonts w:cs="Tahoma" w:ascii="Tahoma" w:hAnsi="Tahoma"/>
            </w:rPr>
            <w:instrText xml:space="preserve"> NUMPAGES </w:instrText>
          </w:r>
          <w:r>
            <w:rPr>
              <w:rFonts w:cs="Tahoma" w:ascii="Tahoma" w:hAnsi="Tahoma"/>
            </w:rPr>
            <w:fldChar w:fldCharType="separate"/>
          </w:r>
          <w:r>
            <w:rPr>
              <w:rFonts w:cs="Tahoma" w:ascii="Tahoma" w:hAnsi="Tahoma"/>
            </w:rPr>
            <w:t>7</w:t>
          </w:r>
          <w:r>
            <w:rPr>
              <w:rFonts w:cs="Tahoma" w:ascii="Tahoma" w:hAnsi="Tahoma"/>
            </w:rPr>
            <w:fldChar w:fldCharType="end"/>
          </w:r>
        </w:p>
      </w:tc>
    </w:tr>
  </w:tbl>
  <w:p>
    <w:pPr>
      <w:pStyle w:val="ConsPlusNormal"/>
      <w:rPr/>
    </w:pPr>
    <w:r>
      <w:rPr>
        <w:sz w:val="2"/>
        <w:szCs w:val="2"/>
      </w:rPr>
      <w:t>1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tbl>
    <w:tblPr>
      <w:tblW w:w="5000" w:type="pct"/>
      <w:jc w:val="lef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  <w:tblLook w:noHBand="0" w:noVBand="0" w:firstColumn="0" w:lastRow="0" w:lastColumn="0" w:firstRow="0"/>
    </w:tblPr>
    <w:tblGrid>
      <w:gridCol w:w="3402"/>
      <w:gridCol w:w="3402"/>
      <w:gridCol w:w="3403"/>
    </w:tblGrid>
    <w:tr>
      <w:trPr>
        <w:trHeight w:val="1663" w:hRule="exact"/>
      </w:trPr>
      <w:tc>
        <w:tcPr>
          <w:tcW w:w="3402" w:type="dxa"/>
          <w:tcBorders/>
          <w:vAlign w:val="center"/>
        </w:tcPr>
        <w:p>
          <w:pPr>
            <w:pStyle w:val="ConsPlusNormal"/>
            <w:rPr/>
          </w:pPr>
          <w:r>
            <w:rPr>
              <w:rFonts w:cs="Tahoma" w:ascii="Tahoma" w:hAnsi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cs="Tahoma" w:ascii="Tahoma" w:hAnsi="Tahoma"/>
              <w:b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3402" w:type="dxa"/>
          <w:tcBorders/>
          <w:vAlign w:val="center"/>
        </w:tcPr>
        <w:p>
          <w:pPr>
            <w:pStyle w:val="ConsPlusNormal"/>
            <w:jc w:val="center"/>
            <w:rPr/>
          </w:pPr>
          <w:hyperlink r:id="rId1">
            <w:r>
              <w:rPr>
                <w:rStyle w:val="Style9"/>
                <w:rFonts w:cs="Tahoma" w:ascii="Tahoma" w:hAnsi="Tahoma"/>
                <w:b/>
                <w:color w:val="0000FF"/>
              </w:rPr>
              <w:t>www.consultant.ru</w:t>
            </w:r>
          </w:hyperlink>
        </w:p>
      </w:tc>
      <w:tc>
        <w:tcPr>
          <w:tcW w:w="3403" w:type="dxa"/>
          <w:tcBorders/>
          <w:vAlign w:val="center"/>
        </w:tcPr>
        <w:p>
          <w:pPr>
            <w:pStyle w:val="ConsPlusNormal"/>
            <w:jc w:val="right"/>
            <w:rPr/>
          </w:pPr>
          <w:r>
            <w:rPr>
              <w:rFonts w:cs="Tahoma" w:ascii="Tahoma" w:hAnsi="Tahoma"/>
            </w:rPr>
            <w:t xml:space="preserve">Страница </w:t>
          </w:r>
          <w:r>
            <w:rPr>
              <w:rFonts w:cs="Tahoma" w:ascii="Tahoma" w:hAnsi="Tahoma"/>
            </w:rPr>
            <w:fldChar w:fldCharType="begin"/>
          </w:r>
          <w:r>
            <w:rPr>
              <w:rFonts w:cs="Tahoma" w:ascii="Tahoma" w:hAnsi="Tahoma"/>
            </w:rPr>
            <w:instrText xml:space="preserve"> PAGE </w:instrText>
          </w:r>
          <w:r>
            <w:rPr>
              <w:rFonts w:cs="Tahoma" w:ascii="Tahoma" w:hAnsi="Tahoma"/>
            </w:rPr>
            <w:fldChar w:fldCharType="separate"/>
          </w:r>
          <w:r>
            <w:rPr>
              <w:rFonts w:cs="Tahoma" w:ascii="Tahoma" w:hAnsi="Tahoma"/>
            </w:rPr>
            <w:t>1</w:t>
          </w:r>
          <w:r>
            <w:rPr>
              <w:rFonts w:cs="Tahoma" w:ascii="Tahoma" w:hAnsi="Tahoma"/>
            </w:rPr>
            <w:fldChar w:fldCharType="end"/>
          </w:r>
          <w:r>
            <w:rPr>
              <w:rFonts w:cs="Tahoma" w:ascii="Tahoma" w:hAnsi="Tahoma"/>
            </w:rPr>
            <w:t xml:space="preserve"> из </w:t>
          </w:r>
          <w:r>
            <w:rPr>
              <w:rFonts w:cs="Tahoma" w:ascii="Tahoma" w:hAnsi="Tahoma"/>
            </w:rPr>
            <w:fldChar w:fldCharType="begin"/>
          </w:r>
          <w:r>
            <w:rPr>
              <w:rFonts w:cs="Tahoma" w:ascii="Tahoma" w:hAnsi="Tahoma"/>
            </w:rPr>
            <w:instrText xml:space="preserve"> NUMPAGES </w:instrText>
          </w:r>
          <w:r>
            <w:rPr>
              <w:rFonts w:cs="Tahoma" w:ascii="Tahoma" w:hAnsi="Tahoma"/>
            </w:rPr>
            <w:fldChar w:fldCharType="separate"/>
          </w:r>
          <w:r>
            <w:rPr>
              <w:rFonts w:cs="Tahoma" w:ascii="Tahoma" w:hAnsi="Tahoma"/>
            </w:rPr>
            <w:t>7</w:t>
          </w:r>
          <w:r>
            <w:rPr>
              <w:rFonts w:cs="Tahoma" w:ascii="Tahoma" w:hAnsi="Tahoma"/>
            </w:rPr>
            <w:fldChar w:fldCharType="end"/>
          </w:r>
        </w:p>
      </w:tc>
    </w:tr>
  </w:tbl>
  <w:p>
    <w:pPr>
      <w:pStyle w:val="ConsPlusNormal"/>
      <w:rPr/>
    </w:pPr>
    <w:r>
      <w:rPr>
        <w:sz w:val="2"/>
        <w:szCs w:val="2"/>
      </w:rPr>
      <w:t>1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5103"/>
      <w:gridCol w:w="5104"/>
    </w:tblGrid>
    <w:tr>
      <w:trPr>
        <w:trHeight w:val="1683" w:hRule="exact"/>
      </w:trPr>
      <w:tc>
        <w:tcPr>
          <w:tcW w:w="5103" w:type="dxa"/>
          <w:tcBorders/>
          <w:vAlign w:val="center"/>
        </w:tcPr>
        <w:p>
          <w:pPr>
            <w:pStyle w:val="ConsPlusNormal"/>
            <w:rPr>
              <w:rFonts w:ascii="Tahoma" w:hAnsi="Tahoma" w:cs="Tahoma"/>
            </w:rPr>
          </w:pPr>
          <w:r>
            <w:rPr>
              <w:rFonts w:cs="Tahoma" w:ascii="Tahoma" w:hAnsi="Tahoma"/>
              <w:sz w:val="16"/>
              <w:szCs w:val="16"/>
            </w:rPr>
            <w:t>Приказ Минфина России от 04.10.2023 N 157н</w:t>
            <w:br/>
            <w:t>(ред. от 07.11.2025)</w:t>
            <w:br/>
            <w:t>"Об утверждении Федерального стандарта бухгалтерского уч...</w:t>
          </w:r>
        </w:p>
      </w:tc>
      <w:tc>
        <w:tcPr>
          <w:tcW w:w="5104" w:type="dxa"/>
          <w:tcBorders/>
          <w:vAlign w:val="center"/>
        </w:tcPr>
        <w:p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cs="Tahoma" w:ascii="Tahoma" w:hAnsi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Style w:val="Style9"/>
                <w:rFonts w:cs="Tahoma" w:ascii="Tahoma" w:hAnsi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cs="Tahoma" w:ascii="Tahoma" w:hAnsi="Tahoma"/>
              <w:sz w:val="18"/>
              <w:szCs w:val="18"/>
            </w:rPr>
            <w:br/>
          </w:r>
          <w:r>
            <w:rPr>
              <w:rFonts w:cs="Tahoma" w:ascii="Tahoma" w:hAnsi="Tahoma"/>
              <w:sz w:val="16"/>
              <w:szCs w:val="16"/>
            </w:rPr>
            <w:t>Дата сохранения: 14.04.2026</w:t>
          </w:r>
        </w:p>
      </w:tc>
    </w:tr>
  </w:tbl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p>
    <w:pPr>
      <w:pStyle w:val="ConsPlus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0" w:type="dxa"/>
      <w:tblLayout w:type="fixed"/>
      <w:tblCellMar>
        <w:top w:w="0" w:type="dxa"/>
        <w:left w:w="40" w:type="dxa"/>
        <w:bottom w:w="0" w:type="dxa"/>
        <w:right w:w="40" w:type="dxa"/>
      </w:tblCellMar>
    </w:tblPr>
    <w:tblGrid>
      <w:gridCol w:w="5103"/>
      <w:gridCol w:w="5104"/>
    </w:tblGrid>
    <w:tr>
      <w:trPr>
        <w:trHeight w:val="1683" w:hRule="exact"/>
      </w:trPr>
      <w:tc>
        <w:tcPr>
          <w:tcW w:w="5103" w:type="dxa"/>
          <w:tcBorders/>
          <w:vAlign w:val="center"/>
        </w:tcPr>
        <w:p>
          <w:pPr>
            <w:pStyle w:val="ConsPlusNormal"/>
            <w:rPr>
              <w:rFonts w:ascii="Tahoma" w:hAnsi="Tahoma" w:cs="Tahoma"/>
            </w:rPr>
          </w:pPr>
          <w:r>
            <w:rPr>
              <w:rFonts w:cs="Tahoma" w:ascii="Tahoma" w:hAnsi="Tahoma"/>
              <w:sz w:val="16"/>
              <w:szCs w:val="16"/>
            </w:rPr>
            <w:t>Приказ Минфина России от 04.10.2023 N 157н</w:t>
            <w:br/>
            <w:t>(ред. от 07.11.2025)</w:t>
            <w:br/>
            <w:t>"Об утверждении Федерального стандарта бухгалтерского уч...</w:t>
          </w:r>
        </w:p>
      </w:tc>
      <w:tc>
        <w:tcPr>
          <w:tcW w:w="5104" w:type="dxa"/>
          <w:tcBorders/>
          <w:vAlign w:val="center"/>
        </w:tcPr>
        <w:p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cs="Tahoma" w:ascii="Tahoma" w:hAnsi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Style w:val="Style9"/>
                <w:rFonts w:cs="Tahoma" w:ascii="Tahoma" w:hAnsi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cs="Tahoma" w:ascii="Tahoma" w:hAnsi="Tahoma"/>
              <w:sz w:val="18"/>
              <w:szCs w:val="18"/>
            </w:rPr>
            <w:br/>
          </w:r>
          <w:r>
            <w:rPr>
              <w:rFonts w:cs="Tahoma" w:ascii="Tahoma" w:hAnsi="Tahoma"/>
              <w:sz w:val="16"/>
              <w:szCs w:val="16"/>
            </w:rPr>
            <w:t>Дата сохранения: 14.04.2026</w:t>
          </w:r>
        </w:p>
      </w:tc>
    </w:tr>
  </w:tbl>
  <w:p>
    <w:pPr>
      <w:pStyle w:val="ConsPlusNormal"/>
      <w:pBdr>
        <w:bottom w:val="single" w:sz="12" w:space="0" w:color="000000"/>
      </w:pBdr>
      <w:rPr>
        <w:sz w:val="2"/>
        <w:szCs w:val="2"/>
      </w:rPr>
    </w:pPr>
    <w:r>
      <w:rPr>
        <w:sz w:val="2"/>
        <w:szCs w:val="2"/>
      </w:rPr>
    </w:r>
  </w:p>
  <w:p>
    <w:pPr>
      <w:pStyle w:val="ConsPlus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ans" w:cs="FreeSans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Noto Sans" w:cs="FreeSans"/>
      <w:color w:val="auto"/>
      <w:kern w:val="0"/>
      <w:sz w:val="20"/>
      <w:szCs w:val="20"/>
      <w:lang w:val="ru-RU" w:eastAsia="ru-RU" w:bidi="ar-SA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FreeSans"/>
    </w:rPr>
  </w:style>
  <w:style w:type="paragraph" w:styleId="ConsPlusNormal" w:default="1" w:customStyle="1">
    <w:name w:val="ConsPlusNormal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cs="Times New Roman" w:eastAsia="Noto Sans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Noto Sans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bidi w:val="0"/>
      <w:spacing w:lineRule="auto" w:line="240" w:before="0" w:after="0"/>
      <w:jc w:val="left"/>
    </w:pPr>
    <w:rPr>
      <w:rFonts w:ascii="Arial" w:hAnsi="Arial" w:cs="Arial" w:eastAsia="Noto Sans"/>
      <w:b/>
      <w:color w:val="auto"/>
      <w:kern w:val="0"/>
      <w:sz w:val="24"/>
      <w:szCs w:val="20"/>
      <w:lang w:val="ru-RU" w:eastAsia="ru-RU" w:bidi="ar-SA"/>
    </w:rPr>
  </w:style>
  <w:style w:type="paragraph" w:styleId="ConsPlusCell" w:customStyle="1">
    <w:name w:val="ConsPlusCell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Noto Sans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Noto Sans"/>
      <w:color w:val="auto"/>
      <w:kern w:val="0"/>
      <w:sz w:val="18"/>
      <w:szCs w:val="20"/>
      <w:lang w:val="ru-RU" w:eastAsia="ru-RU" w:bidi="ar-SA"/>
    </w:rPr>
  </w:style>
  <w:style w:type="paragraph" w:styleId="ConsPlusTitlePage" w:customStyle="1">
    <w:name w:val="ConsPlusTitlePage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Noto Sans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pPr>
      <w:widowControl w:val="false"/>
      <w:bidi w:val="0"/>
      <w:spacing w:lineRule="auto" w:line="240" w:before="0" w:after="0"/>
      <w:jc w:val="left"/>
    </w:pPr>
    <w:rPr>
      <w:rFonts w:ascii="Tahoma" w:hAnsi="Tahoma" w:cs="Tahoma" w:eastAsia="Noto Sans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cs="Times New Roman" w:eastAsia="Noto Sans"/>
      <w:color w:val="auto"/>
      <w:kern w:val="0"/>
      <w:sz w:val="24"/>
      <w:szCs w:val="20"/>
      <w:lang w:val="ru-RU" w:eastAsia="ru-RU" w:bidi="ar-SA"/>
    </w:rPr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Style16"/>
    <w:pPr/>
    <w:rPr/>
  </w:style>
  <w:style w:type="paragraph" w:styleId="Footer">
    <w:name w:val="footer"/>
    <w:basedOn w:val="Style16"/>
    <w:pPr/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?req=doc&amp;base=LAW&amp;n=520762&amp;date=14.04.2026&amp;dst=100016&amp;field=134" TargetMode="External"/><Relationship Id="rId3" Type="http://schemas.openxmlformats.org/officeDocument/2006/relationships/hyperlink" Target="https://login.consultant.ru/link?req=doc&amp;base=LAW&amp;n=520762&amp;date=14.04.2026&amp;dst=100017&amp;field=134" TargetMode="External"/><Relationship Id="rId4" Type="http://schemas.openxmlformats.org/officeDocument/2006/relationships/hyperlink" Target="https://login.consultant.ru/link?req=doc&amp;base=LAW&amp;n=520762&amp;date=14.04.2026&amp;dst=100027&amp;field=134" TargetMode="External"/><Relationship Id="rId5" Type="http://schemas.openxmlformats.org/officeDocument/2006/relationships/hyperlink" Target="https://login.consultant.ru/link?req=doc&amp;base=LAW&amp;n=520762&amp;date=14.04.2026&amp;dst=100028&amp;field=134" TargetMode="External"/><Relationship Id="rId6" Type="http://schemas.openxmlformats.org/officeDocument/2006/relationships/hyperlink" Target="https://login.consultant.ru/link?req=doc&amp;base=LAW&amp;n=520762&amp;date=14.04.2026&amp;dst=100029&amp;field=134" TargetMode="External"/><Relationship Id="rId7" Type="http://schemas.openxmlformats.org/officeDocument/2006/relationships/hyperlink" Target="https://login.consultant.ru/link?req=doc&amp;base=LAW&amp;n=520762&amp;date=14.04.2026&amp;dst=100034&amp;field=134" TargetMode="External"/><Relationship Id="rId8" Type="http://schemas.openxmlformats.org/officeDocument/2006/relationships/hyperlink" Target="https://login.consultant.ru/link?req=doc&amp;base=LAW&amp;n=520762&amp;date=14.04.2026&amp;dst=100035&amp;field=134" TargetMode="External"/><Relationship Id="rId9" Type="http://schemas.openxmlformats.org/officeDocument/2006/relationships/hyperlink" Target="https://login.consultant.ru/link?req=doc&amp;base=LAW&amp;n=520762&amp;date=14.04.2026&amp;dst=100040&amp;field=134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hyperlink" Target="https://www.consultant.ru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LibreOffice/26.2.2.2$Linux_X86_64 LibreOffice_project/620$Build-2</Application>
  <AppVersion>15.0000</AppVersion>
  <Pages>7</Pages>
  <Words>2686</Words>
  <Characters>19204</Characters>
  <CharactersWithSpaces>21271</CharactersWithSpaces>
  <Paragraphs>619</Paragraphs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2026-04-14T08:55:36Z</dcterms:created>
  <dc:creator/>
  <dc:description/>
  <dc:language>ru-RU</dc:language>
  <cp:lastModifiedBy/>
  <dcterms:modified xsi:type="dcterms:W3CDTF">2026-04-14T12:26:28Z</dcterms:modified>
  <cp:revision>2</cp:revision>
  <dc:subject/>
  <dc:title>Приказ Минфина России от 04.10.2023 N 157н
(ред. от 07.11.2025)
"Об утверждении Федерального стандарта бухгалтерского учета ФСБУ 4/2023 "Бухгалтерская (финансовая) отчетность"
(Зарегистрировано в Минюсте России 21.03.2024 N 77591)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