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80917EE" w14:textId="77777777">
      <w:pPr>
        <w:pBdr/>
        <w:spacing w:after="240"/>
        <w:ind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УДК</w:t>
      </w:r>
      <w:r>
        <w:rPr>
          <w:rFonts w:eastAsia="Times New Roman" w:cs="Times New Roman"/>
          <w:szCs w:val="28"/>
        </w:rPr>
      </w:r>
    </w:p>
    <w:p w14:paraId="7FE7C2D3" w14:textId="77777777">
      <w:pPr>
        <w:pBdr/>
        <w:spacing w:after="240" w:before="240"/>
        <w:ind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© Д.А. Антипенко, ___________</w:t>
      </w:r>
      <w:r>
        <w:rPr>
          <w:rFonts w:eastAsia="Times New Roman" w:cs="Times New Roman"/>
          <w:szCs w:val="28"/>
        </w:rPr>
      </w:r>
    </w:p>
    <w:p w14:paraId="792A0FC9" w14:textId="77777777">
      <w:pPr>
        <w:pBdr/>
        <w:spacing w:after="240" w:before="240"/>
        <w:ind w:firstLine="280"/>
        <w:jc w:val="center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 xml:space="preserve">Автоматизированный парсинг бухгалтерской (финансовой) отчётности из открытых данных: аналитические возможности.</w:t>
      </w:r>
      <w:r>
        <w:rPr>
          <w:rFonts w:eastAsia="Times New Roman" w:cs="Times New Roman"/>
          <w:b/>
          <w:bCs/>
          <w:szCs w:val="28"/>
        </w:rPr>
      </w:r>
    </w:p>
    <w:p w14:paraId="5DAC8B07" w14:textId="77777777">
      <w:pPr>
        <w:pBdr/>
        <w:spacing w:after="240" w:before="240"/>
        <w:ind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               </w:t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  <w:t xml:space="preserve">    </w:t>
      </w:r>
      <w:r>
        <w:rPr>
          <w:rFonts w:eastAsia="Times New Roman" w:cs="Times New Roman"/>
          <w:szCs w:val="28"/>
        </w:rPr>
        <w:tab/>
        <w:t xml:space="preserve">                          Д.А. Антипенко</w:t>
      </w:r>
      <w:r>
        <w:rPr>
          <w:rFonts w:eastAsia="Times New Roman" w:cs="Times New Roman"/>
          <w:szCs w:val="28"/>
        </w:rPr>
      </w:r>
    </w:p>
    <w:p w14:paraId="3F5E72DF" w14:textId="77777777">
      <w:pPr>
        <w:pBdr/>
        <w:spacing w:after="240" w:before="240"/>
        <w:ind w:firstLine="720" w:left="72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студент 4 курса специалитета НИЯУ МИФИ, Москва</w:t>
      </w:r>
      <w:r>
        <w:rPr>
          <w:rFonts w:eastAsia="Times New Roman" w:cs="Times New Roman"/>
          <w:szCs w:val="28"/>
        </w:rPr>
      </w:r>
    </w:p>
    <w:p w14:paraId="25699AFF" w14:textId="77777777">
      <w:pPr>
        <w:pBdr/>
        <w:spacing w:after="240" w:before="240"/>
        <w:ind w:firstLine="280"/>
        <w:jc w:val="right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 xml:space="preserve">Email:</w:t>
      </w:r>
      <w:r>
        <w:rPr>
          <w:rFonts w:eastAsia="Times New Roman" w:cs="Times New Roman"/>
          <w:color w:val="ff0000"/>
          <w:szCs w:val="28"/>
          <w:lang w:val="en-US"/>
        </w:rPr>
        <w:t xml:space="preserve"> </w:t>
      </w:r>
      <w:r>
        <w:rPr>
          <w:rFonts w:eastAsia="Times New Roman" w:cs="Times New Roman"/>
          <w:szCs w:val="28"/>
          <w:lang w:val="en-US"/>
        </w:rPr>
        <w:t xml:space="preserve">antip.ada@yandex.ru</w:t>
      </w:r>
      <w:r>
        <w:rPr>
          <w:rFonts w:eastAsia="Times New Roman" w:cs="Times New Roman"/>
          <w:szCs w:val="28"/>
          <w:lang w:val="en-US"/>
        </w:rPr>
      </w:r>
    </w:p>
    <w:p w14:paraId="5F6BF523" w14:textId="77777777">
      <w:pPr>
        <w:pBdr/>
        <w:spacing w:after="240" w:before="240"/>
        <w:ind w:firstLine="720" w:left="720"/>
        <w:jc w:val="right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 xml:space="preserve">__________</w:t>
      </w:r>
      <w:r>
        <w:rPr>
          <w:rFonts w:eastAsia="Times New Roman" w:cs="Times New Roman"/>
          <w:szCs w:val="28"/>
          <w:lang w:val="en-US"/>
        </w:rPr>
      </w:r>
    </w:p>
    <w:p w14:paraId="4BA82B03" w14:textId="77777777">
      <w:pPr>
        <w:pBdr/>
        <w:spacing w:after="240" w:before="240"/>
        <w:ind w:firstLine="720" w:left="72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________________ </w:t>
      </w:r>
      <w:r>
        <w:rPr>
          <w:rFonts w:eastAsia="Times New Roman" w:cs="Times New Roman"/>
          <w:szCs w:val="28"/>
        </w:rPr>
        <w:t xml:space="preserve">НИЯУ МИФИ, Москва</w:t>
      </w:r>
      <w:r>
        <w:rPr>
          <w:rFonts w:eastAsia="Times New Roman" w:cs="Times New Roman"/>
          <w:szCs w:val="28"/>
        </w:rPr>
      </w:r>
    </w:p>
    <w:p w14:paraId="0D86F021" w14:textId="77777777">
      <w:pPr>
        <w:pBdr/>
        <w:spacing w:after="240" w:before="240"/>
        <w:ind w:firstLine="28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Email</w:t>
      </w:r>
      <w:r>
        <w:rPr>
          <w:rFonts w:eastAsia="Times New Roman" w:cs="Times New Roman"/>
          <w:szCs w:val="28"/>
        </w:rPr>
        <w:t xml:space="preserve">: </w:t>
      </w:r>
      <w:r>
        <w:rPr>
          <w:rFonts w:eastAsia="Times New Roman" w:cs="Times New Roman"/>
          <w:szCs w:val="28"/>
        </w:rPr>
        <w:t xml:space="preserve">__________</w:t>
      </w:r>
      <w:r>
        <w:rPr>
          <w:rFonts w:eastAsia="Times New Roman" w:cs="Times New Roman"/>
          <w:szCs w:val="28"/>
        </w:rPr>
      </w:r>
    </w:p>
    <w:p w14:paraId="0CB6D3E5" w14:textId="77777777">
      <w:pPr>
        <w:pBdr/>
        <w:spacing w:after="240" w:before="240"/>
        <w:ind w:firstLine="28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Научный руководитель: </w:t>
      </w:r>
      <w:r>
        <w:rPr>
          <w:rFonts w:eastAsia="Times New Roman" w:cs="Times New Roman"/>
          <w:color w:val="ff0000"/>
          <w:szCs w:val="28"/>
        </w:rPr>
        <w:t xml:space="preserve">—----------</w:t>
      </w:r>
      <w:r>
        <w:rPr>
          <w:rFonts w:eastAsia="Times New Roman" w:cs="Times New Roman"/>
          <w:szCs w:val="28"/>
        </w:rPr>
      </w:r>
    </w:p>
    <w:p w14:paraId="5CEBAA9E" w14:textId="77777777">
      <w:pPr>
        <w:pBdr/>
        <w:spacing w:after="240" w:before="240"/>
        <w:ind w:firstLine="28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color w:val="ff0000"/>
          <w:szCs w:val="28"/>
        </w:rPr>
        <w:t xml:space="preserve">—----------</w:t>
      </w:r>
      <w:r>
        <w:rPr>
          <w:rFonts w:eastAsia="Times New Roman" w:cs="Times New Roman"/>
          <w:szCs w:val="28"/>
        </w:rPr>
        <w:t xml:space="preserve"> НИЯУ МИФИ, Москва</w:t>
      </w:r>
      <w:r>
        <w:rPr>
          <w:rFonts w:eastAsia="Times New Roman" w:cs="Times New Roman"/>
          <w:szCs w:val="28"/>
        </w:rPr>
      </w:r>
    </w:p>
    <w:p w14:paraId="57FD529A" w14:textId="77777777">
      <w:pPr>
        <w:pBdr/>
        <w:spacing w:after="240" w:before="240"/>
        <w:ind w:firstLine="280"/>
        <w:jc w:val="right"/>
        <w:rPr>
          <w:rFonts w:eastAsia="Times New Roman" w:cs="Times New Roman"/>
          <w:color w:val="ee0000"/>
          <w:szCs w:val="28"/>
        </w:rPr>
      </w:pPr>
      <w:r>
        <w:rPr>
          <w:rFonts w:eastAsia="Times New Roman" w:cs="Times New Roman"/>
          <w:szCs w:val="28"/>
          <w:lang w:val="en-US"/>
        </w:rPr>
        <w:t xml:space="preserve">Email</w:t>
      </w:r>
      <w:r>
        <w:rPr>
          <w:rFonts w:eastAsia="Times New Roman" w:cs="Times New Roman"/>
          <w:szCs w:val="28"/>
        </w:rPr>
        <w:t xml:space="preserve">:  </w:t>
      </w:r>
      <w:r>
        <w:rPr>
          <w:rFonts w:eastAsia="Times New Roman" w:cs="Times New Roman"/>
          <w:color w:val="ff0000"/>
          <w:szCs w:val="28"/>
        </w:rPr>
        <w:t xml:space="preserve">—----------</w:t>
      </w:r>
      <w:r>
        <w:rPr>
          <w:rFonts w:eastAsia="Times New Roman" w:cs="Times New Roman"/>
          <w:color w:val="ee0000"/>
          <w:szCs w:val="28"/>
        </w:rPr>
      </w:r>
    </w:p>
    <w:p w14:paraId="2C56CAAB" w14:textId="77777777">
      <w:pPr>
        <w:pBdr/>
        <w:spacing w:after="240" w:before="240"/>
        <w:ind w:firstLine="280"/>
        <w:jc w:val="both"/>
        <w:rPr>
          <w:rFonts w:eastAsia="Times New Roman" w:cs="Times New Roman"/>
          <w:i/>
          <w:iCs/>
          <w:szCs w:val="28"/>
        </w:rPr>
      </w:pPr>
      <w:r>
        <w:rPr>
          <w:rFonts w:eastAsia="Times New Roman" w:cs="Times New Roman"/>
          <w:szCs w:val="28"/>
        </w:rPr>
        <w:t xml:space="preserve">Аннотация: </w:t>
      </w:r>
      <w:r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Статья посвящена разработке алгоритма автоматизированного извлечения бухгалтерской (финансовой) отчётности из Государственного информационного ресурса ФНС России (ГИР БО). Рассматриваются структура и нормативная база источника данных, системные ограничения</w:t>
      </w:r>
      <w:r>
        <w:rPr>
          <w:rFonts w:eastAsia="Times New Roman" w:cs="Times New Roman"/>
          <w:szCs w:val="28"/>
        </w:rPr>
        <w:t xml:space="preserve"> при работе с массивом отчётности и подходы к их преодолению. Описан алгоритм парсинга, основанный на идентификации показателей по кодам строк, нормализации значений и обработке структурных аномалий файлов. Оценивается аналитический потенциал сформированной</w:t>
      </w:r>
      <w:r>
        <w:rPr>
          <w:rFonts w:eastAsia="Times New Roman" w:cs="Times New Roman"/>
          <w:szCs w:val="28"/>
        </w:rPr>
        <w:t xml:space="preserve"> базы данных для задач финансового анализа, риск-менеджмента и отраслевого моделирования.</w:t>
      </w:r>
      <w:r>
        <w:rPr>
          <w:rFonts w:eastAsia="Times New Roman" w:cs="Times New Roman"/>
          <w:szCs w:val="28"/>
        </w:rPr>
      </w:r>
      <w:r>
        <w:rPr>
          <w:rFonts w:eastAsia="Times New Roman" w:cs="Times New Roman"/>
          <w:i/>
          <w:iCs/>
          <w:szCs w:val="28"/>
        </w:rPr>
      </w:r>
      <w:r>
        <w:rPr>
          <w:rFonts w:eastAsia="Times New Roman" w:cs="Times New Roman"/>
          <w:i/>
          <w:iCs/>
          <w:szCs w:val="28"/>
        </w:rPr>
      </w:r>
    </w:p>
    <w:p w14:paraId="18A9CB1B" w14:textId="77777777">
      <w:pPr>
        <w:pBdr/>
        <w:spacing w:after="240" w:before="240"/>
        <w:ind w:firstLine="280"/>
        <w:jc w:val="both"/>
        <w:rPr>
          <w:rFonts w:eastAsia="Times New Roman" w:cs="Times New Roman"/>
          <w:color w:val="ff0000"/>
          <w:szCs w:val="28"/>
        </w:rPr>
      </w:pPr>
      <w:r>
        <w:rPr>
          <w:rFonts w:eastAsia="Times New Roman" w:cs="Times New Roman"/>
          <w:szCs w:val="28"/>
        </w:rPr>
        <w:t xml:space="preserve">Ключевые слова: </w:t>
      </w:r>
      <w:r>
        <w:rPr>
          <w:rFonts w:eastAsia="Times New Roman" w:cs="Times New Roman"/>
          <w:i/>
          <w:iCs/>
          <w:szCs w:val="28"/>
          <w:lang w:val="en-US"/>
        </w:rPr>
      </w:r>
      <w:r>
        <w:t xml:space="preserve">бухгалтерская отчётность, ГИР БО, ФНС России, открытые данные, парсинг, автоматизация сбора данных, нормализация данных, финансовый анализ, экономическая безопасность, корпоративные финансы.</w:t>
      </w:r>
      <w:r>
        <w:rPr>
          <w:rFonts w:eastAsia="Times New Roman" w:cs="Times New Roman"/>
          <w:i/>
          <w:iCs/>
          <w:szCs w:val="28"/>
          <w:lang w:val="ru-RU"/>
        </w:rPr>
      </w:r>
      <w:r>
        <w:rPr>
          <w:rFonts w:eastAsia="Times New Roman" w:cs="Times New Roman"/>
          <w:color w:val="ff0000"/>
          <w:szCs w:val="28"/>
        </w:rPr>
      </w:r>
    </w:p>
    <w:p w14:paraId="44E17B23" w14:textId="77777777">
      <w:pPr>
        <w:pStyle w:val="1020"/>
        <w:pBdr/>
        <w:spacing/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sdt>
      <w:sdtPr>
        <w15:appearance w15:val="boundingBox"/>
        <w:id w:val="1098137499"/>
        <w:docPartObj>
          <w:docPartGallery w:val="Table of Contents"/>
          <w:docPartUnique w:val="true"/>
        </w:docPartObj>
        <w:rPr>
          <w:rFonts w:eastAsiaTheme="minorEastAsia" w:cstheme="minorBidi"/>
          <w:b w:val="0"/>
          <w:bCs w:val="0"/>
          <w:color w:val="auto"/>
          <w:sz w:val="22"/>
          <w:szCs w:val="22"/>
        </w:rPr>
      </w:sdtPr>
      <w:sdtContent>
        <w:p w14:paraId="193DCDA0" w14:textId="77777777">
          <w:pPr>
            <w:pStyle w:val="1030"/>
            <w:numPr>
              <w:ilvl w:val="0"/>
              <w:numId w:val="0"/>
            </w:numPr>
            <w:pBdr/>
            <w:spacing/>
            <w:ind w:left="709"/>
            <w:rPr/>
          </w:pPr>
          <w:r>
            <w:t xml:space="preserve">Содержание</w:t>
          </w:r>
          <w:r/>
        </w:p>
        <w:p w14:paraId="12C944FC">
          <w:pPr>
            <w:pStyle w:val="1031"/>
            <w:pBdr/>
            <w:tabs>
              <w:tab w:val="right" w:leader="dot" w:pos="9344"/>
            </w:tabs>
            <w:spacing/>
            <w:ind/>
            <w:rPr/>
          </w:pPr>
          <w:r>
            <w:rPr>
              <w:rFonts w:cs="Times New Roman"/>
              <w:sz w:val="22"/>
            </w:rPr>
            <w:fldChar w:fldCharType="begin"/>
          </w:r>
          <w:r>
            <w:rPr>
              <w:rFonts w:cs="Times New Roman"/>
              <w:sz w:val="22"/>
            </w:rPr>
            <w:instrText xml:space="preserve"> TOC \o "1-3" \h \z \u </w:instrText>
          </w:r>
          <w:r>
            <w:rPr>
              <w:rFonts w:cs="Times New Roman"/>
              <w:sz w:val="22"/>
            </w:rPr>
            <w:fldChar w:fldCharType="separate"/>
          </w:r>
          <w:r>
            <w:rPr>
              <w:sz w:val="24"/>
              <w:szCs w:val="24"/>
            </w:rPr>
          </w:r>
          <w:hyperlink w:tooltip="#_Toc1" w:anchor="_Toc1" w:history="1">
            <w:r>
              <w:rPr>
                <w:rStyle w:val="1022"/>
              </w:rPr>
            </w:r>
            <w:r>
              <w:rPr>
                <w:rStyle w:val="1022"/>
              </w:rPr>
              <w:t xml:space="preserve">Введение</w:t>
            </w:r>
            <w:r>
              <w:rPr>
                <w:rStyle w:val="1022"/>
              </w:rPr>
            </w:r>
            <w:r>
              <w:tab/>
            </w:r>
            <w:r>
              <w:fldChar w:fldCharType="begin"/>
              <w:instrText xml:space="preserve">PAGEREF _Toc1 \h</w:instrText>
              <w:fldChar w:fldCharType="separate"/>
              <w:t xml:space="preserve">3</w:t>
              <w:fldChar w:fldCharType="end"/>
            </w:r>
          </w:hyperlink>
          <w:r/>
        </w:p>
        <w:p w14:paraId="4AF455AA">
          <w:pPr>
            <w:pStyle w:val="1031"/>
            <w:pBdr/>
            <w:tabs>
              <w:tab w:val="left" w:leader="none" w:pos="567"/>
              <w:tab w:val="right" w:leader="dot" w:pos="9344"/>
            </w:tabs>
            <w:spacing/>
            <w:ind/>
            <w:rPr/>
          </w:pPr>
          <w:hyperlink w:tooltip="#_Toc2" w:anchor="_Toc2" w:history="1">
            <w:r>
              <w:rPr>
                <w:rFonts w:ascii="Times New Roman" w:hAnsi="Times New Roman" w:cs="Times New Roman" w:eastAsiaTheme="majorEastAsia"/>
              </w:rPr>
              <w:t xml:space="preserve">1</w:t>
            </w:r>
            <w:r>
              <w:tab/>
            </w:r>
            <w:r>
              <w:rPr>
                <w:rStyle w:val="1022"/>
              </w:rPr>
            </w:r>
            <w:r>
              <w:rPr>
                <w:rStyle w:val="1022"/>
              </w:rPr>
              <w:t xml:space="preserve">Источники данных</w:t>
            </w:r>
            <w:r>
              <w:rPr>
                <w:rStyle w:val="1022"/>
              </w:rPr>
            </w:r>
            <w:r>
              <w:tab/>
            </w:r>
            <w:r>
              <w:fldChar w:fldCharType="begin"/>
              <w:instrText xml:space="preserve">PAGEREF _Toc2 \h</w:instrText>
              <w:fldChar w:fldCharType="separate"/>
              <w:t xml:space="preserve">5</w:t>
              <w:fldChar w:fldCharType="end"/>
            </w:r>
          </w:hyperlink>
          <w:r/>
        </w:p>
        <w:p w14:paraId="099B08A3">
          <w:pPr>
            <w:pStyle w:val="1031"/>
            <w:pBdr/>
            <w:tabs>
              <w:tab w:val="left" w:leader="none" w:pos="567"/>
              <w:tab w:val="right" w:leader="dot" w:pos="9344"/>
            </w:tabs>
            <w:spacing/>
            <w:ind/>
            <w:rPr/>
          </w:pPr>
          <w:hyperlink w:tooltip="#_Toc3" w:anchor="_Toc3" w:history="1">
            <w:r>
              <w:rPr>
                <w:rFonts w:ascii="Times New Roman" w:hAnsi="Times New Roman" w:cs="Times New Roman" w:eastAsiaTheme="majorEastAsia"/>
              </w:rPr>
              <w:t xml:space="preserve">2</w:t>
            </w:r>
            <w:r>
              <w:tab/>
            </w:r>
            <w:r>
              <w:rPr>
                <w:rStyle w:val="1022"/>
              </w:rPr>
            </w:r>
            <w:r>
              <w:rPr>
                <w:rStyle w:val="1022"/>
              </w:rPr>
              <w:t xml:space="preserve">Архитектура и алгоритм работы</w:t>
            </w:r>
            <w:r>
              <w:rPr>
                <w:rStyle w:val="1022"/>
              </w:rPr>
            </w:r>
            <w:r>
              <w:tab/>
            </w:r>
            <w:r>
              <w:fldChar w:fldCharType="begin"/>
              <w:instrText xml:space="preserve">PAGEREF _Toc3 \h</w:instrText>
              <w:fldChar w:fldCharType="separate"/>
              <w:t xml:space="preserve">9</w:t>
              <w:fldChar w:fldCharType="end"/>
            </w:r>
          </w:hyperlink>
          <w:r/>
        </w:p>
        <w:p w14:paraId="14ECCEAF">
          <w:pPr>
            <w:pStyle w:val="1031"/>
            <w:pBdr/>
            <w:tabs>
              <w:tab w:val="left" w:leader="none" w:pos="567"/>
              <w:tab w:val="right" w:leader="dot" w:pos="9344"/>
            </w:tabs>
            <w:spacing/>
            <w:ind/>
            <w:rPr/>
          </w:pPr>
          <w:hyperlink w:tooltip="#_Toc4" w:anchor="_Toc4" w:history="1">
            <w:r>
              <w:rPr>
                <w:rFonts w:ascii="Times New Roman" w:hAnsi="Times New Roman" w:cs="Times New Roman" w:eastAsiaTheme="majorEastAsia"/>
              </w:rPr>
              <w:t xml:space="preserve">3</w:t>
            </w:r>
            <w:r>
              <w:tab/>
            </w:r>
            <w:r>
              <w:rPr>
                <w:rStyle w:val="1022"/>
              </w:rPr>
            </w:r>
            <w:r>
              <w:rPr>
                <w:rStyle w:val="1022"/>
              </w:rPr>
              <w:t xml:space="preserve">Аналитические возможности</w:t>
            </w:r>
            <w:r>
              <w:rPr>
                <w:rStyle w:val="1022"/>
              </w:rPr>
            </w:r>
            <w:r>
              <w:tab/>
            </w:r>
            <w:r>
              <w:fldChar w:fldCharType="begin"/>
              <w:instrText xml:space="preserve">PAGEREF _Toc4 \h</w:instrText>
              <w:fldChar w:fldCharType="separate"/>
              <w:t xml:space="preserve">11</w:t>
              <w:fldChar w:fldCharType="end"/>
            </w:r>
          </w:hyperlink>
          <w:r/>
        </w:p>
        <w:p w14:paraId="094CF228">
          <w:pPr>
            <w:pStyle w:val="1031"/>
            <w:pBdr/>
            <w:tabs>
              <w:tab w:val="right" w:leader="dot" w:pos="9344"/>
            </w:tabs>
            <w:spacing/>
            <w:ind/>
            <w:rPr/>
          </w:pPr>
          <w:hyperlink w:tooltip="#_Toc5" w:anchor="_Toc5" w:history="1">
            <w:r>
              <w:rPr>
                <w:rStyle w:val="1022"/>
              </w:rPr>
            </w:r>
            <w:r>
              <w:rPr>
                <w:rStyle w:val="1022"/>
              </w:rPr>
              <w:t xml:space="preserve">Заключение</w:t>
            </w:r>
            <w:r>
              <w:rPr>
                <w:rStyle w:val="1022"/>
              </w:rPr>
            </w:r>
            <w:r>
              <w:tab/>
            </w:r>
            <w:r>
              <w:fldChar w:fldCharType="begin"/>
              <w:instrText xml:space="preserve">PAGEREF _Toc5 \h</w:instrText>
              <w:fldChar w:fldCharType="separate"/>
              <w:t xml:space="preserve">13</w:t>
              <w:fldChar w:fldCharType="end"/>
            </w:r>
          </w:hyperlink>
          <w:r/>
        </w:p>
        <w:p w14:paraId="721931DF">
          <w:pPr>
            <w:pStyle w:val="1031"/>
            <w:pBdr/>
            <w:tabs>
              <w:tab w:val="right" w:leader="dot" w:pos="9344"/>
            </w:tabs>
            <w:spacing/>
            <w:ind/>
            <w:rPr/>
          </w:pPr>
          <w:hyperlink w:tooltip="#_Toc6" w:anchor="_Toc6" w:history="1">
            <w:r>
              <w:rPr>
                <w:rStyle w:val="1022"/>
              </w:rPr>
            </w:r>
            <w:r>
              <w:rPr>
                <w:rStyle w:val="1022"/>
              </w:rPr>
              <w:t xml:space="preserve">Список источников</w:t>
            </w:r>
            <w:r>
              <w:rPr>
                <w:rStyle w:val="1022"/>
              </w:rPr>
            </w:r>
            <w:r>
              <w:tab/>
            </w:r>
            <w:r>
              <w:fldChar w:fldCharType="begin"/>
              <w:instrText xml:space="preserve">PAGEREF _Toc6 \h</w:instrText>
              <w:fldChar w:fldCharType="separate"/>
              <w:t xml:space="preserve">15</w:t>
              <w:fldChar w:fldCharType="end"/>
            </w:r>
          </w:hyperlink>
          <w:r/>
        </w:p>
        <w:p w14:paraId="71EA7115">
          <w:pPr>
            <w:pBdr/>
            <w:spacing/>
            <w:ind/>
            <w:rPr>
              <w:sz w:val="24"/>
              <w:szCs w:val="24"/>
            </w:rPr>
          </w:pPr>
          <w:r>
            <w:rPr>
              <w:rFonts w:cs="Times New Roman"/>
              <w:sz w:val="22"/>
            </w:rPr>
          </w:r>
          <w:r>
            <w:rPr>
              <w:rFonts w:cs="Times New Roman"/>
              <w:sz w:val="22"/>
            </w:rPr>
            <w:fldChar w:fldCharType="end"/>
          </w:r>
          <w:r>
            <w:rPr>
              <w:sz w:val="24"/>
              <w:szCs w:val="24"/>
            </w:rPr>
          </w:r>
          <w:r/>
        </w:p>
      </w:sdtContent>
    </w:sdt>
    <w:p w14:paraId="4ECDC390" w14:textId="77777777">
      <w:pPr>
        <w:pStyle w:val="845"/>
        <w:numPr>
          <w:ilvl w:val="0"/>
          <w:numId w:val="0"/>
        </w:numPr>
        <w:pBdr/>
        <w:spacing/>
        <w:ind w:left="709"/>
        <w:rPr/>
      </w:pPr>
      <w:r/>
      <w:bookmarkStart w:id="1" w:name="_Toc1"/>
      <w:r>
        <w:t xml:space="preserve">Введение</w:t>
      </w:r>
      <w:r/>
      <w:bookmarkEnd w:id="1"/>
      <w:r/>
      <w:r/>
    </w:p>
    <w:p w14:paraId="46D4502A" w14:textId="3FD2333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360" w:lineRule="auto"/>
        <w:ind w:firstLine="709"/>
        <w:jc w:val="both"/>
        <w:rPr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Открытость корпоративной финансовой информации является одним из ключевых условий функционирован</w:t>
      </w:r>
      <w:r>
        <w:rPr>
          <w:rFonts w:eastAsia="Times New Roman" w:cs="Times New Roman"/>
          <w:color w:val="000000"/>
          <w:szCs w:val="28"/>
        </w:rPr>
        <w:t xml:space="preserve">ия современной рыночной экономики. С 2020 года Федеральная налоговая служба России формирует Государственный информационный ресурс бухгалтерской (финансовой) отчётности (ГИР БО), обеспечивая публичный доступ к годовой отчётности большинства юридических лиц</w:t>
      </w:r>
      <w:r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  <w:lang w:val="en-US"/>
        </w:rPr>
        <w:fldChar w:fldCharType="begin"/>
      </w:r>
      <w:r>
        <w:rPr>
          <w:rFonts w:eastAsia="Times New Roman" w:cs="Times New Roman"/>
          <w:color w:val="000000"/>
          <w:szCs w:val="28"/>
        </w:rPr>
        <w:instrText xml:space="preserve"> ADDIN ZOTERO_ITEM CSL_CITATION {"citationID":"mv8x3m8cw5m","properties":{"plainCitation":"[1</w:instrText>
      </w:r>
      <w:r>
        <w:rPr>
          <w:rFonts w:eastAsia="Times New Roman" w:cs="Times New Roman"/>
          <w:color w:val="000000"/>
          <w:szCs w:val="28"/>
        </w:rPr>
        <w:instrText xml:space="preserve">]","dontUpdate":true,"noteIndex":0},"citationItems":[{"id":9,"uris":["http://zotero.org/users/20441262/items/FTED2SQG"],"itemData":{"id":9,"type":"webpage","title":"Статья 18. Государственный информационный ресурс бухгалтерской (финансовой) отчетности \\ К</w:instrText>
      </w:r>
      <w:r>
        <w:rPr>
          <w:rFonts w:eastAsia="Times New Roman" w:cs="Times New Roman"/>
          <w:color w:val="000000"/>
          <w:szCs w:val="28"/>
        </w:rPr>
        <w:instrText xml:space="preserve">онсультантПлюс","URL":"https://www.consultant.ru/document/cons_doc_LAW_122855/daa8e03f934e0977a8b9fb670c5a4c880badea09/","accessed":{"date-parts":[["2026",5,6]]}}}],"schema":"https://github.com/citation-style-language/schema/raw/master/csl-citation.json"} </w:instrText>
      </w:r>
      <w:r>
        <w:rPr>
          <w:rFonts w:eastAsia="Times New Roman" w:cs="Times New Roman"/>
          <w:color w:val="000000"/>
          <w:szCs w:val="28"/>
          <w:lang w:val="en-US"/>
        </w:rPr>
        <w:fldChar w:fldCharType="separate"/>
      </w:r>
      <w:r>
        <w:rPr>
          <w:rFonts w:eastAsia="Times New Roman" w:cs="Times New Roman"/>
          <w:color w:val="000000"/>
          <w:szCs w:val="28"/>
        </w:rPr>
        <w:t xml:space="preserve">[5]</w:t>
      </w:r>
      <w:r>
        <w:rPr>
          <w:rFonts w:eastAsia="Times New Roman" w:cs="Times New Roman"/>
          <w:color w:val="000000"/>
          <w:szCs w:val="28"/>
          <w:lang w:val="en-US"/>
        </w:rPr>
        <w:fldChar w:fldCharType="end"/>
      </w:r>
      <w:r>
        <w:rPr>
          <w:rFonts w:eastAsia="Times New Roman" w:cs="Times New Roman"/>
          <w:color w:val="000000"/>
          <w:szCs w:val="28"/>
        </w:rPr>
        <w:t xml:space="preserve">. Этот ресурс представляет значительный потенциал для науч</w:t>
      </w:r>
      <w:r>
        <w:rPr>
          <w:rFonts w:eastAsia="Times New Roman" w:cs="Times New Roman"/>
          <w:color w:val="000000"/>
          <w:szCs w:val="28"/>
        </w:rPr>
        <w:t xml:space="preserve">но-прикладных исследований в области корпоративных финансов, экономической безопасности и отраслевого анализа — однако его практическое использование в аналитических целях по-прежнему сопряжено с существенными организационными и техническими препятствиями.</w:t>
      </w:r>
      <w:r>
        <w:rPr>
          <w:szCs w:val="28"/>
        </w:rPr>
      </w:r>
    </w:p>
    <w:p w14:paraId="5A1447D4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360" w:lineRule="auto"/>
        <w:ind w:firstLine="709"/>
        <w:jc w:val="both"/>
        <w:rPr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Существующие подходы к получению финансовой отчётности организаций можно разделить на три группы. Первая — коммерческие агрегаторы (СПАРК, </w:t>
      </w:r>
      <w:r>
        <w:rPr>
          <w:rFonts w:eastAsia="Times New Roman" w:cs="Times New Roman"/>
          <w:color w:val="000000"/>
          <w:szCs w:val="28"/>
        </w:rPr>
        <w:t xml:space="preserve">Контур.Фокус</w:t>
      </w:r>
      <w:r>
        <w:rPr>
          <w:rFonts w:eastAsia="Times New Roman" w:cs="Times New Roman"/>
          <w:color w:val="000000"/>
          <w:szCs w:val="28"/>
        </w:rPr>
        <w:t xml:space="preserve">, </w:t>
      </w:r>
      <w:r>
        <w:rPr>
          <w:rFonts w:eastAsia="Times New Roman" w:cs="Times New Roman"/>
          <w:color w:val="000000"/>
          <w:szCs w:val="28"/>
        </w:rPr>
        <w:t xml:space="preserve">Rusprofile</w:t>
      </w:r>
      <w:r>
        <w:rPr>
          <w:rFonts w:eastAsia="Times New Roman" w:cs="Times New Roman"/>
          <w:color w:val="000000"/>
          <w:szCs w:val="28"/>
        </w:rPr>
        <w:t xml:space="preserve"> и аналогичные): они предоставляют удобный интерфейс, однако закрыты для самостоятельной обра</w:t>
      </w:r>
      <w:r>
        <w:rPr>
          <w:rFonts w:eastAsia="Times New Roman" w:cs="Times New Roman"/>
          <w:color w:val="000000"/>
          <w:szCs w:val="28"/>
        </w:rPr>
        <w:t xml:space="preserve">ботки исходных данных, не позволяют формировать произвольные выборки и требуют значительных затрат на подписку. Вторая — ручная выгрузка непосредственно с ресурсов: решение применимо для единичных запросов, но принципиально не масштабируется при работе с м</w:t>
      </w:r>
      <w:r>
        <w:rPr>
          <w:rFonts w:eastAsia="Times New Roman" w:cs="Times New Roman"/>
          <w:color w:val="000000"/>
          <w:szCs w:val="28"/>
        </w:rPr>
        <w:t xml:space="preserve">ассивами в тысячи субъектов. Третья — универсальные ETL-инструменты: они решают задачи загрузки и трансформации данных в общем случае, но не учитывают специфику структуры бухгалтерских форм, системы кодирования строк и методологических особенностей ГИР БО.</w:t>
      </w:r>
      <w:r>
        <w:rPr>
          <w:szCs w:val="28"/>
        </w:rPr>
      </w:r>
    </w:p>
    <w:p w14:paraId="5714716C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360" w:lineRule="auto"/>
        <w:ind w:firstLine="709"/>
        <w:jc w:val="both"/>
        <w:rPr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Таким образом, в научной и прикладной практике сохраняется разрыв между наличием открытого мас</w:t>
      </w:r>
      <w:r>
        <w:rPr>
          <w:rFonts w:eastAsia="Times New Roman" w:cs="Times New Roman"/>
          <w:color w:val="000000"/>
          <w:szCs w:val="28"/>
        </w:rPr>
        <w:t xml:space="preserve">сива финансовой отчётности и инструментальной возможностью его системного использования. Настоящая статья направлена на устранение этого разрыва путём разработки алгоритма автоматизированного парсинга бухгалтерской (финансовой) отчётности из данных ГИР БО.</w:t>
      </w:r>
      <w:r>
        <w:rPr>
          <w:szCs w:val="28"/>
        </w:rPr>
      </w:r>
    </w:p>
    <w:p w14:paraId="0A2F1FC9" w14:textId="409314B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360" w:lineRule="auto"/>
        <w:ind w:firstLine="709"/>
        <w:jc w:val="both"/>
        <w:rPr>
          <w:szCs w:val="28"/>
          <w:lang w:val="en-US"/>
        </w:rPr>
      </w:pPr>
      <w:r>
        <w:rPr>
          <w:rFonts w:eastAsia="Times New Roman" w:cs="Times New Roman"/>
          <w:color w:val="000000"/>
          <w:szCs w:val="28"/>
        </w:rPr>
        <w:t xml:space="preserve">В соответствии с поставленной целью решаются следующие задачи: анализ состава и структуры источника данных, включая систему кодирования строк форм отчётности; разработка алгоритма извлечения, нормал</w:t>
      </w:r>
      <w:r>
        <w:rPr>
          <w:rFonts w:eastAsia="Times New Roman" w:cs="Times New Roman"/>
          <w:color w:val="000000"/>
          <w:szCs w:val="28"/>
        </w:rPr>
        <w:t xml:space="preserve">изации и валидации показателей с опорой на коды строк как первичный идентификатор; формирование структурированной базы данных; оценка аналитического потенциала полученного массива для задач финансового анализа, риск-менеджмента и отраслевого моделирования.</w:t>
      </w:r>
      <w:r>
        <w:rPr>
          <w:szCs w:val="28"/>
          <w:lang w:val="en-US"/>
        </w:rPr>
      </w:r>
    </w:p>
    <w:p w14:paraId="4CE3095B" w14:textId="77777777">
      <w:pPr>
        <w:pStyle w:val="845"/>
        <w:pBdr/>
        <w:spacing/>
        <w:ind/>
        <w:rPr/>
      </w:pPr>
      <w:r/>
      <w:bookmarkStart w:id="2" w:name="_Toc2"/>
      <w:r>
        <w:t xml:space="preserve">Источники данных</w:t>
      </w:r>
      <w:r/>
      <w:bookmarkEnd w:id="2"/>
      <w:r/>
      <w:r/>
    </w:p>
    <w:p w14:paraId="3CEACFC3" w14:textId="77777777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Государственный информационный ресурс бухгалтерской (финансовой) отчетности как источник данных</w:t>
      </w:r>
      <w:r>
        <w:rPr>
          <w:rFonts w:cs="Times New Roman"/>
          <w:szCs w:val="28"/>
        </w:rPr>
      </w:r>
    </w:p>
    <w:p w14:paraId="17312E4E" w14:textId="77777777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условиях цифровизации фискальной сферы и роста требований к прозрачности корпоративной информации возрастает потребность в использовании централизованных и</w:t>
      </w:r>
      <w:r>
        <w:rPr>
          <w:rFonts w:cs="Times New Roman"/>
          <w:szCs w:val="28"/>
        </w:rPr>
        <w:t xml:space="preserve">сточников бухгалтерских данных для научных исследований и прикладного анализа. С 2020 года функцию формирования и ведения Государственного информационного ресурса бухгалтерской (финансовой) отчетности (далее – ГИР БО) осуществляет Федеральная налоговая слу</w:t>
      </w:r>
      <w:r>
        <w:rPr>
          <w:rFonts w:cs="Times New Roman"/>
          <w:szCs w:val="28"/>
        </w:rPr>
        <w:t xml:space="preserve">жба России на основании Федерального закона от 28.11.2018 № 444-ФЗ. Передача функции администрирования от органов статистики к ФНС обусловлена целью исключения дублирующей сдачи отчетности и повышения доступности финансовых данных для заинтересованных лиц.</w:t>
      </w:r>
      <w:r>
        <w:rPr>
          <w:rFonts w:cs="Times New Roman"/>
          <w:szCs w:val="28"/>
        </w:rPr>
      </w:r>
    </w:p>
    <w:p w14:paraId="54CA1E3B" w14:textId="3E8AD5BB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Обязаннос</w:t>
      </w:r>
      <w:r>
        <w:rPr>
          <w:rFonts w:cs="Times New Roman"/>
          <w:szCs w:val="28"/>
        </w:rPr>
        <w:t xml:space="preserve">ть представления обязательного экземпляра годовой отчетности в налоговый орган по месту нахождения установлена ст. 18 Федерального закона от 06.12.2011 № 402-ФЗ «О бухгалтерском учете». От представления отчетности в ФНС России освобождены: организации бюдж</w:t>
      </w:r>
      <w:r>
        <w:rPr>
          <w:rFonts w:cs="Times New Roman"/>
          <w:szCs w:val="28"/>
        </w:rPr>
        <w:t xml:space="preserve">етной сферы; Центральный банк РФ; религиозные организации; субъекты, представляющие отчетность в Банк России; организации, чья отчетность содержит сведения, отнесенные к государственной тайне; а также организации в случаях, установленных Правительством РФ </w:t>
      </w: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ADDIN ZOTERO_ITEM CSL_CITATION {"citationID":"0ldha35ymfnh","properties":{"plainCitation":"[1</w:instrText>
      </w:r>
      <w:r>
        <w:rPr>
          <w:rFonts w:cs="Times New Roman"/>
          <w:szCs w:val="28"/>
        </w:rPr>
        <w:instrText xml:space="preserve">]","dontUpdate":true,"noteIndex":0},"citationItems":[{"id":9,"uris":["http://zotero.org/users/20441262/items/FTED2SQG"],"itemData":{"id":9,"type":"webpage","title":"Статья 18. Государственный информационный ресурс бухгалтерской (финансовой) отчетности \\ К</w:instrText>
      </w:r>
      <w:r>
        <w:rPr>
          <w:rFonts w:cs="Times New Roman"/>
          <w:szCs w:val="28"/>
        </w:rPr>
        <w:instrText xml:space="preserve">онсультантПлюс","URL":"https://www.consultant.ru/document/cons_doc_LAW_122855/daa8e03f934e0977a8b9fb670c5a4c880badea09/","accessed":{"date-parts":[["2026",5,6]]}}}],"schema":"https://github.com/citation-style-language/schema/raw/master/csl-citation.json"} </w:instrText>
      </w:r>
      <w:r>
        <w:rPr>
          <w:rFonts w:cs="Times New Roman"/>
          <w:szCs w:val="28"/>
        </w:rPr>
        <w:fldChar w:fldCharType="separate"/>
      </w:r>
      <w:r>
        <w:rPr>
          <w:rFonts w:cs="Times New Roman"/>
          <w:szCs w:val="28"/>
        </w:rPr>
        <w:t xml:space="preserve">[5]</w:t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</w:r>
    </w:p>
    <w:p w14:paraId="68F6AA9A" w14:textId="1A89286E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 1 января 2021 года отменена возможность представления отчетности на бумажном носителе: обязательный экземпляр направляется исключительно в электронном виде по телекоммуникационным каналам связи через аккредитован</w:t>
      </w:r>
      <w:r>
        <w:rPr>
          <w:rFonts w:cs="Times New Roman"/>
          <w:szCs w:val="28"/>
        </w:rPr>
        <w:t xml:space="preserve">ного оператора электронного документооборота. Срок представления – не позднее трех месяцев после окончания отчетного года. Порядок исправления ошибок регламентирован Федеральным законом от 30.12.2021 № 435-ФЗ: исправленная отчетность сдается не позднее 31 </w:t>
      </w:r>
      <w:r>
        <w:rPr>
          <w:rFonts w:cs="Times New Roman"/>
          <w:szCs w:val="28"/>
        </w:rPr>
        <w:t xml:space="preserve">июля года, следующего за отчетным. В случае утверждения отчетности после указанной даты – не позднее 10 рабочих дней после утверждения, но не позднее 31 декабря </w:t>
      </w: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ADDIN ZOTERO_ITEM CSL_CITATION {"citat</w:instrText>
      </w:r>
      <w:r>
        <w:rPr>
          <w:rFonts w:cs="Times New Roman"/>
          <w:szCs w:val="28"/>
        </w:rPr>
        <w:instrText xml:space="preserve">ionID":"kt73zmpc4ra","properties":{"plainCitation":"[2]","dontUpdate":true,"noteIndex":0},"citationItems":[{"id":6,"uris":["http://zotero.org/users/20441262/items/YLNRTCYW"],"itemData":{"id":6,"type":"webpage","title":"Федеральный закон от 30.12.2021 N 435</w:instrText>
      </w:r>
      <w:r>
        <w:rPr>
          <w:rFonts w:cs="Times New Roman"/>
          <w:szCs w:val="28"/>
        </w:rPr>
        <w:instrText xml:space="preserve">-ФЗ — Редакция от 30.12.2021 — Контур.Норматив","URL":"https://normativ.kontur.ru/document?documentId=411058&amp;moduleId=1","accessed":{"date-parts":[["2026",5,6]]}}}],"schema":"https://github.com/citation-style-language/schema/raw/master/csl-citation.json"} </w:instrText>
      </w:r>
      <w:r>
        <w:rPr>
          <w:rFonts w:cs="Times New Roman"/>
          <w:szCs w:val="28"/>
        </w:rPr>
        <w:fldChar w:fldCharType="separate"/>
      </w:r>
      <w:r>
        <w:rPr>
          <w:rFonts w:cs="Times New Roman"/>
          <w:szCs w:val="28"/>
        </w:rPr>
        <w:t xml:space="preserve">[6]</w:t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 xml:space="preserve">.</w:t>
      </w:r>
      <w:r>
        <w:rPr>
          <w:rFonts w:cs="Times New Roman"/>
          <w:szCs w:val="28"/>
        </w:rPr>
      </w:r>
    </w:p>
    <w:p w14:paraId="59FBC8BC" w14:textId="77777777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Состав, структура и система кодирования форм отчетности</w:t>
      </w:r>
      <w:r>
        <w:rPr>
          <w:rFonts w:cs="Times New Roman"/>
          <w:szCs w:val="28"/>
        </w:rPr>
      </w:r>
    </w:p>
    <w:p w14:paraId="2B50B8A1" w14:textId="0EB86A0A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исследуемом массиве данных большинство отчетных форм сформ</w:t>
      </w:r>
      <w:r>
        <w:rPr>
          <w:rFonts w:cs="Times New Roman"/>
          <w:szCs w:val="28"/>
        </w:rPr>
        <w:t xml:space="preserve">ировано в соответствии с Положением по бухгалтерскому учету «Бухгалтерская отчетность организации» (ПБУ 4/99), действие которого сохранялось до 2025 года. С 2025 года обязательным к применению становится ФСБУ 4/2023 «Бухгалтерская (финансовая) отчетность» </w:t>
      </w: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ADDIN ZOTERO_ITEM CSL_CITATION {"citati</w:instrText>
      </w:r>
      <w:r>
        <w:rPr>
          <w:rFonts w:cs="Times New Roman"/>
          <w:szCs w:val="28"/>
        </w:rPr>
        <w:instrText xml:space="preserve">onID":"vangcaiv2u","properties":{"plainCitation":"[1]","dontUpdate":true,"noteIndex":0},"citationItems":[{"id":5,"uris":["http://zotero.org/users/20441262/items/C6TDA3VZ"],"itemData":{"id":5,"type":"webpage","title":"ПОЛОЖЕНИЕ ПО БУХГАЛТЕРСКОМУ УЧЕТУ «БУХГ</w:instrText>
      </w:r>
      <w:r>
        <w:rPr>
          <w:rFonts w:cs="Times New Roman"/>
          <w:szCs w:val="28"/>
        </w:rPr>
        <w:instrText xml:space="preserve">АЛТЕРСКАЯ ОТЧЕТНОСТЬ ОРГАНИЗАЦИИ» (ПБУ 4/99)","URL":"https://minfin.gov.ru/common/upload/library/no_date/2010/PBU_4.pdf","accessed":{"date-parts":[["2026",5,6]]}}}],"schema":"https://github.com/citation-style-language/schema/raw/master/csl-citation.json"} </w:instrText>
      </w:r>
      <w:r>
        <w:rPr>
          <w:rFonts w:cs="Times New Roman"/>
          <w:szCs w:val="28"/>
        </w:rPr>
        <w:fldChar w:fldCharType="separate"/>
      </w:r>
      <w:r>
        <w:rPr>
          <w:rFonts w:cs="Times New Roman"/>
          <w:szCs w:val="28"/>
        </w:rPr>
        <w:t xml:space="preserve">[3]</w:t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 xml:space="preserve">.</w:t>
      </w:r>
      <w:r>
        <w:rPr>
          <w:rFonts w:cs="Times New Roman"/>
          <w:szCs w:val="28"/>
        </w:rPr>
      </w:r>
    </w:p>
    <w:p w14:paraId="52C7B448" w14:textId="05A3B76E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Бухгалтерская отчетность включает: бухгалтерский баланс, отчет о финансовых результатах, приложения к ним (отчет о движении денежных средств, отчет об изменениях капитала), пояснения к балансу и отчету о финансовых результатах, а также аудиторское заключен</w:t>
      </w:r>
      <w:r>
        <w:rPr>
          <w:rFonts w:cs="Times New Roman"/>
          <w:szCs w:val="28"/>
        </w:rPr>
        <w:t xml:space="preserve">ие, если отчетность подлежит обязательному аудиту. Отчетность должна обеспечивать достоверное и полное представление о финансовом положении организации. По каждому числовому показателю приводятся данные минимум за два года: отчетный и предшествующий. В слу</w:t>
      </w:r>
      <w:r>
        <w:rPr>
          <w:rFonts w:cs="Times New Roman"/>
          <w:szCs w:val="28"/>
        </w:rPr>
        <w:t xml:space="preserve">чае несопоставимости данных предшествующего периода с отчетным производится их корректировка с обязательным раскрытием причин и сумм в пояснительной записке. Отсутствие числовых значений отражается прочерком или не приводится в зависимости от формы отчета </w:t>
      </w: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ADDIN ZOTERO_ITEM CSL_CITATION {"citationID":"srjwxebm7zk","properties":{"plainCitation":"[4]","dontUpdate":true,"noteI</w:instrText>
      </w:r>
      <w:r>
        <w:rPr>
          <w:rFonts w:cs="Times New Roman"/>
          <w:szCs w:val="28"/>
        </w:rPr>
        <w:instrText xml:space="preserve">ndex":0},"citationItems":[{"id":3,"uris":["http://zotero.org/users/20441262/items/T25GEXHU"],"itemData":{"id":3,"type":"webpage","title":"ФЕДЕРАЛЬНЫЙ СТАНДАРТ БУХГАЛТЕРСКОГО УЧЕТА ФСБУ 4/2023 \"БУХГАЛТЕРСКАЯ (ФИНАНСОВАЯ) ОТЧЕТНОСТЬ\" \\ КонсультантПлюс","U</w:instrText>
      </w:r>
      <w:r>
        <w:rPr>
          <w:rFonts w:cs="Times New Roman"/>
          <w:szCs w:val="28"/>
        </w:rPr>
        <w:instrText xml:space="preserve">RL":"https://www.consultant.ru/document/cons_doc_LAW_472684/552e4f85ef02bf4fd75d2ee6d478849e354d4dc9/","accessed":{"date-parts":[["2026",5,6]]}},"label":"chapter"}],"schema":"https://github.com/citation-style-language/schema/raw/master/csl-citation.json"} </w:instrText>
      </w:r>
      <w:r>
        <w:rPr>
          <w:rFonts w:cs="Times New Roman"/>
          <w:szCs w:val="28"/>
        </w:rPr>
        <w:fldChar w:fldCharType="separate"/>
      </w:r>
      <w:r>
        <w:rPr>
          <w:rFonts w:cs="Times New Roman"/>
          <w:szCs w:val="28"/>
        </w:rPr>
        <w:t xml:space="preserve">[7]</w:t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 xml:space="preserve">.</w:t>
      </w:r>
      <w:r>
        <w:rPr>
          <w:rFonts w:cs="Times New Roman"/>
          <w:szCs w:val="28"/>
        </w:rPr>
      </w:r>
    </w:p>
    <w:p w14:paraId="525C060C" w14:textId="764B7314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Система кодирования строк регламентируется Приказом Минфина России</w:t>
      </w:r>
      <w:r>
        <w:rPr>
          <w:rFonts w:cs="Times New Roman"/>
          <w:szCs w:val="28"/>
        </w:rPr>
        <w:t xml:space="preserve"> от 02.07.2010 № 66н. В отчетности после графы «Наименование показателя» указывается графа «Код», содержащая цифровой идентификатор строки. Организации самостоятельно определяют степень детализации показателей в рамках утвержденных групп статей. Для субъек</w:t>
      </w:r>
      <w:r>
        <w:rPr>
          <w:rFonts w:cs="Times New Roman"/>
          <w:szCs w:val="28"/>
        </w:rPr>
        <w:t xml:space="preserve">тов, применяющих упрощенную форму, допускается указание кода по показателю с наибольшим удельным весом в составе укрупненной строки. Контрольные соотношения, используемые для верификации данных, базируются на внутренней арифметической согласованности форм </w:t>
      </w:r>
      <w:r>
        <w:rPr>
          <w:rFonts w:cs="Times New Roman"/>
          <w:szCs w:val="28"/>
        </w:rPr>
        <w:t xml:space="preserve">(равенство активов и пассивов, увязка чистой прибыли с движением капитала и денежных средств) и соответствуют таксономии XBRL, утверждаемой ФНС </w:t>
      </w: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ADDIN ZOTERO_ITEM CSL_CITATION {"citationID":"x5l3a2ynteo","properties":{"plainCitation":"[2]","dontUpdate":true,"noteIndex":0},"citationItems":[{"id":2,"uris":["http://zotero.org/users/20441262/items/KZG9B</w:instrText>
      </w:r>
      <w:r>
        <w:rPr>
          <w:rFonts w:cs="Times New Roman"/>
          <w:szCs w:val="28"/>
        </w:rPr>
        <w:instrText xml:space="preserve">RTJ"],"itemData":{"id":2,"type":"webpage","title":"Приказ Минфина России от 02.07.2010 N 66н (ред. от 19.04.2019) \"О формах бухгалтерской отчетности организаций\" (Зарегистрировано в Минюсте России 02.08.2010 N 18023) (с изм. и доп., вступ. в силу с отчет</w:instrText>
      </w:r>
      <w:r>
        <w:rPr>
          <w:rFonts w:cs="Times New Roman"/>
          <w:szCs w:val="28"/>
        </w:rPr>
        <w:instrText xml:space="preserve">ности за 2020 год) \\ КонсультантПлюс","URL":"https://www.consultant.ru/document/cons_doc_LAW_103394/","accessed":{"date-parts":[["2026",5,6]]}},"label":"chapter"}],"schema":"https://github.com/citation-style-language/schema/raw/master/csl-citation.json"} </w:instrText>
      </w:r>
      <w:r>
        <w:rPr>
          <w:rFonts w:cs="Times New Roman"/>
          <w:szCs w:val="28"/>
        </w:rPr>
        <w:fldChar w:fldCharType="separate"/>
      </w:r>
      <w:r>
        <w:rPr>
          <w:rFonts w:cs="Times New Roman"/>
          <w:szCs w:val="28"/>
        </w:rPr>
        <w:t xml:space="preserve">[4]</w:t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 xml:space="preserve">.</w:t>
      </w:r>
      <w:r>
        <w:rPr>
          <w:rFonts w:cs="Times New Roman"/>
          <w:szCs w:val="28"/>
        </w:rPr>
      </w:r>
    </w:p>
    <w:p w14:paraId="2F60D6AC" w14:textId="77777777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Методологические ограничения при извлечении данных из ГИР БО и подходы к их преодолению</w:t>
      </w:r>
      <w:r>
        <w:rPr>
          <w:rFonts w:cs="Times New Roman"/>
          <w:szCs w:val="28"/>
        </w:rPr>
      </w:r>
    </w:p>
    <w:p w14:paraId="311855EF" w14:textId="77777777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процессе формирования аналитической выборки из ГИР БО выявлен ряд системных ограничений, </w:t>
      </w:r>
      <w:r>
        <w:rPr>
          <w:rFonts w:cs="Times New Roman"/>
          <w:szCs w:val="28"/>
        </w:rPr>
        <w:t xml:space="preserve">обусловленных регуляторными и организационными особенностями составления и сдачи бухгалтерской отчетности. Для обеспечения достоверности, сопоставимости и воспроизводимости результатов исследования применяются обобщенные методологические подходы (табл. 1).</w:t>
      </w:r>
      <w:r>
        <w:rPr>
          <w:rFonts w:cs="Times New Roman"/>
          <w:szCs w:val="28"/>
        </w:rPr>
      </w:r>
    </w:p>
    <w:p w14:paraId="0DA57650" w14:textId="77777777">
      <w:pPr>
        <w:pBdr/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 xml:space="preserve">Таблица 1 – Системные ограничения при извлечении данных из ГИР БО и методологические подходы к их преодолению</w:t>
      </w:r>
      <w:r>
        <w:rPr>
          <w:rFonts w:cs="Times New Roman"/>
          <w:sz w:val="24"/>
          <w:szCs w:val="24"/>
        </w:rPr>
      </w:r>
    </w:p>
    <w:tbl>
      <w:tblPr>
        <w:tblStyle w:val="1021"/>
        <w:tblW w:w="0" w:type="auto"/>
        <w:tblBorders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>
        <w:trPr/>
        <w:tc>
          <w:tcPr>
            <w:tcBorders/>
            <w:tcW w:w="3115" w:type="dxa"/>
          </w:tcPr>
          <w:p w14:paraId="1FB88F4A" w14:textId="77777777">
            <w:pPr>
              <w:pBdr/>
              <w:spacing/>
              <w:ind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Ограничение </w:t>
            </w:r>
            <w:r>
              <w:rPr>
                <w:rFonts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115" w:type="dxa"/>
          </w:tcPr>
          <w:p w14:paraId="065DD484" w14:textId="77777777">
            <w:pPr>
              <w:pBdr/>
              <w:spacing/>
              <w:ind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Сущность проблемы </w:t>
            </w:r>
            <w:r>
              <w:rPr>
                <w:rFonts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115" w:type="dxa"/>
          </w:tcPr>
          <w:p w14:paraId="58AE7C21" w14:textId="77777777">
            <w:pPr>
              <w:pBdr/>
              <w:spacing/>
              <w:ind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Методический подход</w:t>
            </w:r>
            <w:r>
              <w:rPr>
                <w:rFonts w:cs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115" w:type="dxa"/>
          </w:tcPr>
          <w:p w14:paraId="0FE29D0E" w14:textId="77777777">
            <w:pPr>
              <w:pBdr/>
              <w:spacing/>
              <w:ind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Неоднородность форматов представления бухгалтерской отчетности (полная/упрощенная) 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/>
            <w:tcW w:w="3115" w:type="dxa"/>
          </w:tcPr>
          <w:p w14:paraId="03AFDFD5" w14:textId="77777777">
            <w:pPr>
              <w:pBdr/>
              <w:spacing/>
              <w:ind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Наличие в выборке организаций с разной степенью детализации показателей снижает прямую сопоставимость данных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/>
            <w:tcW w:w="3115" w:type="dxa"/>
          </w:tcPr>
          <w:p w14:paraId="0D2A9545" w14:textId="77777777">
            <w:pPr>
              <w:pBdr/>
              <w:spacing/>
              <w:ind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Стратификация выборки по типу формы; применение принципов агрегирования на основе методических рекомендаций Министерства Финансов РФ</w:t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115" w:type="dxa"/>
          </w:tcPr>
          <w:p w14:paraId="50FBD331" w14:textId="77777777">
            <w:pPr>
              <w:pBdr/>
              <w:spacing/>
              <w:ind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Вариативность наименований строк при идентичных кодах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/>
            <w:tcW w:w="3115" w:type="dxa"/>
          </w:tcPr>
          <w:p w14:paraId="67E1DAD0" w14:textId="77777777">
            <w:pPr>
              <w:pBdr/>
              <w:spacing/>
              <w:ind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Текстовые наименования показателей различаются в зависимости от учетной политики и программного обеспечения, что осложняет однозначное сопоставление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/>
            <w:tcW w:w="3115" w:type="dxa"/>
          </w:tcPr>
          <w:p w14:paraId="5E94397F" w14:textId="77777777">
            <w:pPr>
              <w:pBdr/>
              <w:spacing/>
              <w:ind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Использование цифровых кодов строк как основного идентификатора; верификация через пояснительные записки</w:t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115" w:type="dxa"/>
          </w:tcPr>
          <w:p w14:paraId="6DA7ACAE" w14:textId="77777777">
            <w:pPr>
              <w:pBdr/>
              <w:spacing/>
              <w:ind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Ретроспективный пересчет показателей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/>
            <w:tcW w:w="3115" w:type="dxa"/>
          </w:tcPr>
          <w:p w14:paraId="54988E5D" w14:textId="77777777">
            <w:pPr>
              <w:pBdr/>
              <w:spacing/>
              <w:ind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Организации вправе актуализировать сравнительные данные в текущей отчётности, что приводит к появлению нескольких версий одного показателя за один и тот же отчётный период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/>
            <w:tcW w:w="3115" w:type="dxa"/>
          </w:tcPr>
          <w:p w14:paraId="7B9A6910" w14:textId="77777777">
            <w:pPr>
              <w:pBdr/>
              <w:spacing/>
              <w:ind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Ориентация на последние доступные версии отчетности; документирование существенных корректировок</w:t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115" w:type="dxa"/>
          </w:tcPr>
          <w:p w14:paraId="19AADFBA" w14:textId="77777777">
            <w:pPr>
              <w:pBdr/>
              <w:spacing/>
              <w:ind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Трансформация нормативной базы (2020–2025 гг.)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/>
            <w:tcW w:w="3115" w:type="dxa"/>
          </w:tcPr>
          <w:p w14:paraId="4B559359" w14:textId="77777777">
            <w:pPr>
              <w:pBdr/>
              <w:spacing/>
              <w:ind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Введение новых ФСБУ изменяет принципы признания и оценки показателей, создавая структурные разрывы во временных рядах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/>
            <w:tcW w:w="3115" w:type="dxa"/>
          </w:tcPr>
          <w:p w14:paraId="2D02A0B0" w14:textId="77777777">
            <w:pPr>
              <w:pBdr/>
              <w:spacing/>
              <w:ind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Сегментация выборки по периодам действия регуляторных изменений; разработка матрицы соответствия показателей «старых» и «новых» стандартов</w:t>
            </w:r>
            <w:r>
              <w:rPr>
                <w:rFonts w:cs="Times New Roman"/>
                <w:sz w:val="24"/>
                <w:szCs w:val="24"/>
              </w:rPr>
            </w:r>
          </w:p>
        </w:tc>
      </w:tr>
    </w:tbl>
    <w:p w14:paraId="713B4288" w14:textId="77777777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  <w:r>
        <w:rPr>
          <w:rFonts w:cs="Times New Roman"/>
          <w:szCs w:val="28"/>
        </w:rPr>
      </w:r>
    </w:p>
    <w:p w14:paraId="09745937" w14:textId="77777777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Таким образом, ГИР БО представляет собой ценный источник данных для</w:t>
      </w:r>
      <w:r>
        <w:rPr>
          <w:rFonts w:cs="Times New Roman"/>
          <w:szCs w:val="28"/>
        </w:rPr>
        <w:t xml:space="preserve"> исследований в области корпоративных финансов, однако его использование требует методологически выверенного подхода к обработке информации. Выявленные ограничения не являются непреодолимыми при условии применения соответствующих методологических подходов.</w:t>
      </w:r>
      <w:r>
        <w:rPr>
          <w:rFonts w:cs="Times New Roman"/>
          <w:szCs w:val="28"/>
        </w:rPr>
      </w:r>
    </w:p>
    <w:p w14:paraId="4F8F458E" w14:textId="77777777">
      <w:pPr>
        <w:pStyle w:val="845"/>
        <w:pBdr/>
        <w:spacing/>
        <w:ind/>
        <w:rPr/>
      </w:pPr>
      <w:r/>
      <w:bookmarkStart w:id="3" w:name="_Toc3"/>
      <w:r>
        <w:t xml:space="preserve">Архитектура и алгоритм работы</w:t>
      </w:r>
      <w:r/>
      <w:bookmarkEnd w:id="3"/>
      <w:r/>
      <w:r/>
    </w:p>
    <w:p w14:paraId="466C49BA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360" w:lineRule="auto"/>
        <w:ind w:firstLine="709"/>
        <w:jc w:val="both"/>
        <w:rPr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Разработанный алгоритм парсинга построен на принципе динамической идентификации структуры документа: система не опирается на фиксированное</w:t>
      </w:r>
      <w:r>
        <w:rPr>
          <w:rFonts w:eastAsia="Times New Roman" w:cs="Times New Roman"/>
          <w:color w:val="000000"/>
          <w:szCs w:val="24"/>
        </w:rPr>
        <w:t xml:space="preserve"> расположение данных в файле, а каждый раз самостоятельно определяет позиции значимых элементов. Это принципиально отличает предложенный подход от шаблонных методов извлечения, которые теряют работоспособность при малейшем изменении вёрстки исходной формы.</w:t>
      </w:r>
      <w:r>
        <w:rPr>
          <w:szCs w:val="24"/>
        </w:rPr>
      </w:r>
    </w:p>
    <w:p w14:paraId="4355490D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36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4"/>
        </w:rPr>
        <w:t xml:space="preserve">Идентификация строк по кодам.</w:t>
      </w:r>
      <w:r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8"/>
        </w:rPr>
      </w:r>
    </w:p>
    <w:p w14:paraId="39E04174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4"/>
        </w:rPr>
        <w:t xml:space="preserve">Центральным элементом алгоритма является использован</w:t>
      </w:r>
      <w:r>
        <w:rPr>
          <w:rFonts w:eastAsia="Times New Roman" w:cs="Times New Roman"/>
          <w:color w:val="000000"/>
          <w:szCs w:val="24"/>
        </w:rPr>
        <w:t xml:space="preserve">ие числового кода строки как первичного идентификатора показателя. Прежде чем приступить к чтению данных, парсер динамически обнаруживает строку-заголовок таблицы и определяет расположение колонок наименования и кода. Только после этого производится послед</w:t>
      </w:r>
      <w:r>
        <w:rPr>
          <w:rFonts w:eastAsia="Times New Roman" w:cs="Times New Roman"/>
          <w:color w:val="000000"/>
          <w:szCs w:val="24"/>
        </w:rPr>
        <w:t xml:space="preserve">овательный обход строк и извлечение значений по найденным позициям. Текстовое наименование показателя фиксируется, однако не является основой для сопоставления — это устраняет проблему вариативности формулировок, характерной для отчётности разных организац</w:t>
      </w:r>
      <w:r>
        <w:rPr>
          <w:rFonts w:eastAsia="Times New Roman" w:cs="Times New Roman"/>
          <w:color w:val="000000"/>
          <w:szCs w:val="24"/>
        </w:rPr>
        <w:t xml:space="preserve">ий и программных комплексов. Отдельного внимания заслуживает форма отчёта об изменениях капитала: в ней временной период закодирован непосредственно в структуре самого кода строки, что позволяет разнести данные по годам без обращения к заголовкам периодов.</w:t>
      </w:r>
      <w:r>
        <w:rPr>
          <w:rFonts w:eastAsia="Times New Roman" w:cs="Times New Roman"/>
          <w:szCs w:val="28"/>
        </w:rPr>
      </w:r>
    </w:p>
    <w:p w14:paraId="6B3BCEC9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36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4"/>
        </w:rPr>
        <w:t xml:space="preserve">Нормализация значений.</w:t>
      </w:r>
      <w:r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8"/>
        </w:rPr>
      </w:r>
    </w:p>
    <w:p w14:paraId="7078F871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4"/>
        </w:rPr>
        <w:t xml:space="preserve">Извлечённые данные проходят многоуровневую нормализацию. На этапе поиска заголовков выполняется приведение текста к единому регистру и устранен</w:t>
      </w:r>
      <w:r>
        <w:rPr>
          <w:rFonts w:eastAsia="Times New Roman" w:cs="Times New Roman"/>
          <w:color w:val="000000"/>
          <w:szCs w:val="24"/>
        </w:rPr>
        <w:t xml:space="preserve">ие типографских артефактов (неразрывные пробелы, кавычки-ёлочки). Текстовые наименования строк очищаются от надстрочных сносок и цифровых суффиксов. Финансовые значения приводятся к числовому формату с поддержкой нескольких распространённых представлений: </w:t>
      </w:r>
      <w:r>
        <w:rPr>
          <w:rFonts w:eastAsia="Times New Roman" w:cs="Times New Roman"/>
          <w:color w:val="000000"/>
          <w:szCs w:val="24"/>
        </w:rPr>
        <w:t xml:space="preserve">стандартной записи, российского формата с пробелом в качестве разделителя тысяч и бухгалтерской записи отрицательных чисел в скобках. Зн</w:t>
      </w:r>
      <w:r>
        <w:rPr>
          <w:rFonts w:eastAsia="Times New Roman" w:cs="Times New Roman"/>
          <w:color w:val="000000"/>
          <w:szCs w:val="24"/>
        </w:rPr>
        <w:t xml:space="preserve">ачения, не соответствующие ни одному из допустимых форматов, заменяются на стандартный маркер отсутствия данных. Коды строк нормализуются отдельно: из них извлекаются только цифры, что исключает влияние различных разделителей на корректность идентификации.</w:t>
      </w:r>
      <w:r>
        <w:rPr>
          <w:rFonts w:eastAsia="Times New Roman" w:cs="Times New Roman"/>
          <w:szCs w:val="28"/>
        </w:rPr>
      </w:r>
    </w:p>
    <w:p w14:paraId="6BDFF7F7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36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4"/>
        </w:rPr>
        <w:t xml:space="preserve">Обработка краевых случаев.</w:t>
      </w:r>
      <w:r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8"/>
        </w:rPr>
      </w:r>
    </w:p>
    <w:p w14:paraId="0A38B4BF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4"/>
        </w:rPr>
        <w:t xml:space="preserve">В реальных файлах отчётности систематически встречается ряд структурных аномалий, для каждой из которых предусмотрен соответствующий механизм. Объединённые ячейки, при работе с которыми стандартные средства чтения </w:t>
      </w:r>
      <w:r>
        <w:rPr>
          <w:rFonts w:eastAsia="Times New Roman" w:cs="Times New Roman"/>
          <w:color w:val="000000"/>
          <w:szCs w:val="24"/>
        </w:rPr>
        <w:t xml:space="preserve">xlsx</w:t>
      </w:r>
      <w:r>
        <w:rPr>
          <w:rFonts w:eastAsia="Times New Roman" w:cs="Times New Roman"/>
          <w:color w:val="000000"/>
          <w:szCs w:val="24"/>
        </w:rPr>
        <w:t xml:space="preserve">-файлов возвращают пустые зн</w:t>
      </w:r>
      <w:r>
        <w:rPr>
          <w:rFonts w:eastAsia="Times New Roman" w:cs="Times New Roman"/>
          <w:color w:val="000000"/>
          <w:szCs w:val="24"/>
        </w:rPr>
        <w:t xml:space="preserve">ачения, обрабатываются через поиск непустого значения в ближайшем окружении ячейки. При обнаружении дублирующихся кодов строк приоритет отдаётся первому непустому значению. Если отдельная форма в файле отсутствует, система сохраняет данные из ранее загруже</w:t>
      </w:r>
      <w:r>
        <w:rPr>
          <w:rFonts w:eastAsia="Times New Roman" w:cs="Times New Roman"/>
          <w:color w:val="000000"/>
          <w:szCs w:val="24"/>
        </w:rPr>
        <w:t xml:space="preserve">нной версии, не допуская потери ранее извлечённых сведений. Конкурирующие версии одной и той же отчётности разрешаются на основе даты источника: более поздняя версия замещает предыдущую, после чего возможные дубликаты в базе данных автоматически удаляются.</w:t>
      </w:r>
      <w:r>
        <w:br w:type="page" w:clear="all"/>
      </w:r>
      <w:r>
        <w:rPr>
          <w:rFonts w:eastAsia="Times New Roman" w:cs="Times New Roman"/>
          <w:szCs w:val="28"/>
        </w:rPr>
      </w:r>
    </w:p>
    <w:p w14:paraId="3C7ABA29" w14:textId="77777777">
      <w:pPr>
        <w:pStyle w:val="845"/>
        <w:pBdr/>
        <w:spacing/>
        <w:ind/>
        <w:rPr/>
      </w:pPr>
      <w:r/>
      <w:bookmarkStart w:id="4" w:name="_Toc4"/>
      <w:r>
        <w:t xml:space="preserve">Аналитические возможности</w:t>
      </w:r>
      <w:r/>
      <w:bookmarkEnd w:id="4"/>
      <w:r/>
      <w:r/>
    </w:p>
    <w:p w14:paraId="4B448844" w14:textId="77777777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Направления практического использования сформированного аналитического массива</w:t>
      </w:r>
      <w:r>
        <w:rPr>
          <w:rFonts w:cs="Times New Roman"/>
          <w:szCs w:val="28"/>
        </w:rPr>
      </w:r>
    </w:p>
    <w:p w14:paraId="1F2C7C96" w14:textId="77777777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База данных, сформированная на основе бухгалтерской (финансовой) отчетности, создает фундамент для решения широкого спектра научно-прикладных задач. Ключевые направления использования:</w:t>
      </w:r>
      <w:r>
        <w:rPr>
          <w:rFonts w:cs="Times New Roman"/>
          <w:szCs w:val="28"/>
        </w:rPr>
      </w:r>
    </w:p>
    <w:p w14:paraId="08B43ED8" w14:textId="70EAD735">
      <w:pPr>
        <w:pStyle w:val="1035"/>
        <w:numPr>
          <w:ilvl w:val="0"/>
          <w:numId w:val="48"/>
        </w:numPr>
        <w:pBdr/>
        <w:spacing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Экономический и финансовый анализ. </w:t>
      </w:r>
      <w:r>
        <w:rPr>
          <w:rFonts w:cs="Times New Roman"/>
          <w:szCs w:val="28"/>
        </w:rPr>
        <w:br/>
        <w:t xml:space="preserve">Структурированный массив данных позволяет автоматизировать расчет финансовых коэффициентов по каждому субъекту и отрасли в целом: показателей рентабельности (ROA, ROE, ROS), ликвидности </w:t>
      </w:r>
      <w:r>
        <w:rPr>
          <w:rFonts w:cs="Times New Roman"/>
          <w:szCs w:val="28"/>
        </w:rPr>
        <w:t xml:space="preserve">и платежеспособности, финансовой устойчивости и др. Возможность быстрого построения временных рядов обеспечивает проведение сравнительного анализа, оценку эффективности управленческих решений и построение прогнозных моделей динамики финансовых результатов </w:t>
      </w: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ADDIN ZOTERO_ITEM CSL_CITATION {"citationID":"v2np68tl1gk","properties":{"plainCitation":"[1]","dontUpdate":true,"noteIndex":0},"citationItems":[{"id":1,"uris":["http://zotero.org/user</w:instrText>
      </w:r>
      <w:r>
        <w:rPr>
          <w:rFonts w:cs="Times New Roman"/>
          <w:szCs w:val="28"/>
        </w:rPr>
        <w:instrText xml:space="preserve">s/20441262/items/MFXD5TR7"],"itemData":{"id":1,"type":"webpage","abstract":"Об утверждении \"Методических указаний по проведению анализа финансового состояния организаций\" / Приказ ФСФО России от 23 января 2001  г. № 16","title":"Об утверждении \"Методиче</w:instrText>
      </w:r>
      <w:r>
        <w:rPr>
          <w:rFonts w:cs="Times New Roman"/>
          <w:szCs w:val="28"/>
        </w:rPr>
        <w:instrText xml:space="preserve">ских указаний по проведению анализа финансового состояния организаций\"","URL":"https://docs.cntd.ru/document/901787982","accessed":{"date-parts":[["2026",5,6]]}}}],"schema":"https://github.com/citation-style-language/schema/raw/master/csl-citation.json"} </w:instrText>
      </w:r>
      <w:r>
        <w:rPr>
          <w:rFonts w:cs="Times New Roman"/>
          <w:szCs w:val="28"/>
        </w:rPr>
        <w:fldChar w:fldCharType="separate"/>
      </w:r>
      <w:r>
        <w:rPr>
          <w:rFonts w:cs="Times New Roman"/>
          <w:szCs w:val="28"/>
        </w:rPr>
        <w:t xml:space="preserve">[2]</w:t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 xml:space="preserve">.</w:t>
      </w:r>
      <w:r>
        <w:rPr>
          <w:rFonts w:cs="Times New Roman"/>
          <w:szCs w:val="28"/>
        </w:rPr>
      </w:r>
    </w:p>
    <w:p w14:paraId="05DB885D" w14:textId="77777777">
      <w:pPr>
        <w:pStyle w:val="1035"/>
        <w:numPr>
          <w:ilvl w:val="0"/>
          <w:numId w:val="48"/>
        </w:numPr>
        <w:pBdr/>
        <w:spacing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Экономическая безопасность и риск-менеджмент</w:t>
      </w:r>
      <w:r>
        <w:rPr>
          <w:rFonts w:cs="Times New Roman"/>
          <w:i/>
          <w:iCs/>
          <w:szCs w:val="28"/>
        </w:rPr>
        <w:t xml:space="preserve">.</w:t>
      </w:r>
      <w:r>
        <w:rPr>
          <w:rFonts w:cs="Times New Roman"/>
          <w:szCs w:val="28"/>
        </w:rPr>
        <w:t xml:space="preserve"> Интегрированные данные становятся основой для проверки контраген</w:t>
      </w:r>
      <w:r>
        <w:rPr>
          <w:rFonts w:cs="Times New Roman"/>
          <w:szCs w:val="28"/>
        </w:rPr>
        <w:t xml:space="preserve">тов и мониторинга финансовой устойчивости хозяйствующих субъектов. На базе нормализованных показателей могут быть реализованы модели раннего предупреждения о признаках неплатежеспособности, выявление признаков фиктивной деятельности или «фирм-однодневок» (</w:t>
      </w:r>
      <w:r>
        <w:rPr>
          <w:rFonts w:cs="Times New Roman"/>
          <w:szCs w:val="28"/>
        </w:rPr>
        <w:t xml:space="preserve">анализ резких изменений структуры активов, отсутствие выручки при наличии затрат), а также контроль долговой нагрузки и кассовых разрывов. В условиях цифровой экономики подобные инструменты позволяют минимизировать риски при взаимодействии с контрагентами.</w:t>
      </w:r>
      <w:r>
        <w:rPr>
          <w:rFonts w:cs="Times New Roman"/>
          <w:szCs w:val="28"/>
        </w:rPr>
      </w:r>
    </w:p>
    <w:p w14:paraId="520B0B7C" w14:textId="77777777">
      <w:pPr>
        <w:pStyle w:val="1035"/>
        <w:numPr>
          <w:ilvl w:val="0"/>
          <w:numId w:val="48"/>
        </w:numPr>
        <w:pBdr/>
        <w:spacing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Отраслевое и макроэкономическое моделирование. Агрегированные данные по отраслям и регионам позволяют отслеживать структурные сдвиги в экономике, оценивать влияние </w:t>
      </w:r>
      <w:r>
        <w:rPr>
          <w:rFonts w:cs="Times New Roman"/>
          <w:szCs w:val="28"/>
        </w:rPr>
        <w:t xml:space="preserve">рег</w:t>
      </w:r>
      <w:r>
        <w:rPr>
          <w:rFonts w:cs="Times New Roman"/>
          <w:szCs w:val="28"/>
        </w:rPr>
        <w:t xml:space="preserve">уляторных изменений на финансовые результаты субъектов, а также формировать отраслевые показатели. В сочетании с макроэкономическими индикаторами ресурс может использоваться для создания эконометрических моделей и разработки мер государственной поддержки. </w:t>
      </w:r>
      <w:r>
        <w:rPr>
          <w:rFonts w:cs="Times New Roman"/>
          <w:szCs w:val="28"/>
        </w:rPr>
      </w:r>
    </w:p>
    <w:p w14:paraId="0CC47AA1" w14:textId="749E87DD">
      <w:pPr>
        <w:pBdr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Таким образом, </w:t>
      </w:r>
      <w:r>
        <w:rPr>
          <w:rFonts w:cs="Times New Roman"/>
          <w:color w:val="000000" w:themeColor="text1"/>
          <w:szCs w:val="28"/>
        </w:rPr>
        <w:t xml:space="preserve">д</w:t>
      </w:r>
      <w:r>
        <w:rPr>
          <w:rFonts w:cs="Times New Roman"/>
          <w:szCs w:val="28"/>
        </w:rPr>
        <w:t xml:space="preserve">анный подход не только оптимизирует процессы хранения и обработки информации, но и создает инфраструктуру для проведения комп</w:t>
      </w:r>
      <w:r>
        <w:rPr>
          <w:rFonts w:cs="Times New Roman"/>
          <w:szCs w:val="28"/>
        </w:rPr>
        <w:t xml:space="preserve">лексного экономического анализа, моделирования финансовых рисков и реализации инструментов ПОД/ФТ. Дальнейшее развитие исследования может быть направлено на автоматическую классификацию финансовых состояний субъектов и оценку возможных перспектив развития </w:t>
      </w:r>
      <w:r>
        <w:rPr>
          <w:rFonts w:cs="Times New Roman"/>
          <w:szCs w:val="28"/>
        </w:rPr>
        <w:fldChar w:fldCharType="begin"/>
      </w:r>
      <w:r>
        <w:rPr>
          <w:rFonts w:cs="Times New Roman"/>
          <w:szCs w:val="28"/>
        </w:rPr>
        <w:instrText xml:space="preserve"> ADDIN ZOTERO_ITEM CSL_CITATION {"citationID":"d1cg7ns1gen","properties":{"formattedCitati</w:instrText>
      </w:r>
      <w:r>
        <w:rPr>
          <w:rFonts w:cs="Times New Roman"/>
          <w:szCs w:val="28"/>
        </w:rPr>
        <w:instrText xml:space="preserve">on":"[1]","plainCitation":"[1]","noteIndex":0},"citationItems":[{"id":"jEJg5IV8/RjtM5KCc","uris":["http://zotero.org/users/20441262/items/XDKBMPMP"],"itemData":{"id":"XDKBMPMP","type":"webpage","accessed":{"date-parts":[["2026",5,6]]},"title":"Национальная</w:instrText>
      </w:r>
      <w:r>
        <w:rPr>
          <w:rFonts w:cs="Times New Roman"/>
          <w:szCs w:val="28"/>
        </w:rPr>
        <w:instrText xml:space="preserve"> оценка рисков легализации (отмывания) преступных доходов","URL":"https://data.nalog.ru/html/sites/www.new.nalog.ru/docs/kont/ot_orleg.pdf","custom":{"userID":0}}}],"schema":"https://github.com/citation-style-language/schema/raw/master/csl-citation.json"} </w:instrText>
      </w:r>
      <w:r>
        <w:rPr>
          <w:rFonts w:cs="Times New Roman"/>
          <w:szCs w:val="28"/>
        </w:rPr>
        <w:fldChar w:fldCharType="separate"/>
      </w:r>
      <w:r>
        <w:rPr>
          <w:rFonts w:cs="Times New Roman"/>
        </w:rPr>
        <w:t xml:space="preserve">[1]</w:t>
      </w:r>
      <w:r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 xml:space="preserve">.</w:t>
      </w:r>
      <w:r>
        <w:br w:type="page" w:clear="all"/>
      </w:r>
      <w:r>
        <w:rPr>
          <w:rFonts w:cs="Times New Roman"/>
          <w:szCs w:val="28"/>
        </w:rPr>
      </w:r>
    </w:p>
    <w:p w14:paraId="68A11926" w14:textId="77777777">
      <w:pPr>
        <w:pStyle w:val="845"/>
        <w:numPr>
          <w:ilvl w:val="0"/>
          <w:numId w:val="0"/>
        </w:numPr>
        <w:pBdr/>
        <w:spacing/>
        <w:ind w:left="709"/>
        <w:rPr/>
      </w:pPr>
      <w:r/>
      <w:bookmarkStart w:id="5" w:name="_Toc5"/>
      <w:r>
        <w:t xml:space="preserve">Заключение</w:t>
      </w:r>
      <w:r/>
      <w:bookmarkEnd w:id="5"/>
      <w:r/>
      <w:r/>
    </w:p>
    <w:p w14:paraId="074EBC85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360" w:lineRule="auto"/>
        <w:ind w:firstLine="709"/>
        <w:jc w:val="both"/>
        <w:rPr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В настоящей статье представлен подход к автоматизированному извлечению и структурированию бухгалтерской (финансовой) отчётности из Государственного информационного ресурса ФНС России. Разработанный алгоритм обеспечивает формирование </w:t>
      </w:r>
      <w:r>
        <w:rPr>
          <w:rFonts w:eastAsia="Times New Roman" w:cs="Times New Roman"/>
          <w:color w:val="000000"/>
          <w:szCs w:val="24"/>
        </w:rPr>
        <w:t xml:space="preserve">аналитической базы данных, пригодной для широкого спектра исследовательских и прикладных задач: от расчёта финансовых коэффициентов на уровне отдельных субъектов до отраслевого и макроэкономического моделирования. Ключевым архитектурным решением, обеспечив</w:t>
      </w:r>
      <w:r>
        <w:rPr>
          <w:rFonts w:eastAsia="Times New Roman" w:cs="Times New Roman"/>
          <w:color w:val="000000"/>
          <w:szCs w:val="24"/>
        </w:rPr>
        <w:t xml:space="preserve">ающим устойчивость системы, является идентификация показателей по кодам строк, а не по их текстовым наименованиям или позициям в файле, что позволяет корректно обрабатывать отчётность организаций с различными учётными политиками и программными комплексами.</w:t>
      </w:r>
      <w:r>
        <w:rPr>
          <w:szCs w:val="24"/>
        </w:rPr>
      </w:r>
    </w:p>
    <w:p w14:paraId="72A2FB80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360" w:lineRule="auto"/>
        <w:ind w:firstLine="709"/>
        <w:jc w:val="both"/>
        <w:rPr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Вместе с тем необходимо обозначить ограничения метода. Охват ресурса не является исчерпывающим: из периметра ГИР БО исключён ряд категорий организаций, в том числе субъекты бюджетной сферы</w:t>
      </w:r>
      <w:r>
        <w:rPr>
          <w:rFonts w:eastAsia="Times New Roman" w:cs="Times New Roman"/>
          <w:color w:val="000000"/>
          <w:szCs w:val="24"/>
        </w:rPr>
        <w:t xml:space="preserve">, Центральный банк и организации, чья отчётность содержит сведения, составляющие государственную тайну. Переход с ПБУ 4/99 на ФСБУ 4/2023, вступивший в силу с 2025 года, формирует структурные разрывы в длинных временных рядах и требует разработки матрицы с</w:t>
      </w:r>
      <w:r>
        <w:rPr>
          <w:rFonts w:eastAsia="Times New Roman" w:cs="Times New Roman"/>
          <w:color w:val="000000"/>
          <w:szCs w:val="24"/>
        </w:rPr>
        <w:t xml:space="preserve">оответствия показателей между стандартами. Кроме того, право организаций на ретроспективный пересчёт сравнительных данных означает, что одни и те же показатели за один период могут присутствовать в нескольких версиях отчётности с различающимися значениями.</w:t>
      </w:r>
      <w:r>
        <w:rPr>
          <w:szCs w:val="24"/>
        </w:rPr>
      </w:r>
    </w:p>
    <w:p w14:paraId="71975EC0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360" w:lineRule="auto"/>
        <w:ind w:firstLine="709"/>
        <w:jc w:val="both"/>
        <w:rPr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Перспективными направлениями развития исследования представляются: авт</w:t>
      </w:r>
      <w:r>
        <w:rPr>
          <w:rFonts w:eastAsia="Times New Roman" w:cs="Times New Roman"/>
          <w:color w:val="000000"/>
          <w:szCs w:val="24"/>
        </w:rPr>
        <w:t xml:space="preserve">оматическая классификация финансовых состояний организаций на основе накопленного массива, построение моделей раннего предупреждения о признаках неплатёжеспособности, а также интеграция с внешними источниками — макроэкономическими индикаторами и реестрами </w:t>
      </w:r>
      <w:r>
        <w:rPr>
          <w:rFonts w:eastAsia="Times New Roman" w:cs="Times New Roman"/>
          <w:color w:val="000000"/>
          <w:szCs w:val="24"/>
        </w:rPr>
        <w:t xml:space="preserve">аффилированных лиц — для расширения аналитических возможностей сформированной базы данных.</w:t>
      </w:r>
      <w:r>
        <w:rPr>
          <w:szCs w:val="24"/>
        </w:rPr>
      </w:r>
    </w:p>
    <w:p w14:paraId="571AD253" w14:textId="77777777">
      <w:pPr>
        <w:pBdr/>
        <w:spacing/>
        <w:ind/>
        <w:rPr/>
      </w:pPr>
      <w:r>
        <w:br w:type="page" w:clear="all"/>
      </w:r>
      <w:r/>
    </w:p>
    <w:p w14:paraId="3B03AD9E" w14:textId="77777777">
      <w:pPr>
        <w:pStyle w:val="845"/>
        <w:numPr>
          <w:ilvl w:val="0"/>
          <w:numId w:val="0"/>
        </w:numPr>
        <w:pBdr/>
        <w:spacing/>
        <w:ind w:left="709"/>
        <w:rPr/>
      </w:pPr>
      <w:r/>
      <w:bookmarkStart w:id="6" w:name="_Toc6"/>
      <w:r>
        <w:t xml:space="preserve">Список источников</w:t>
      </w:r>
      <w:r/>
      <w:bookmarkEnd w:id="6"/>
      <w:r/>
      <w:r/>
    </w:p>
    <w:p w14:paraId="198D7E5F" w14:textId="77777777">
      <w:pPr>
        <w:pStyle w:val="1066"/>
        <w:pBdr/>
        <w:spacing/>
        <w:ind/>
        <w:rPr/>
      </w:pPr>
      <w:r>
        <w:fldChar w:fldCharType="begin"/>
      </w:r>
      <w:r>
        <w:instrText xml:space="preserve"> ADDIN ZOTERO_BIBL {"uncited":[],"omitted":[],"custom":[]} CSL_BIBLIOGRAPHY </w:instrText>
      </w:r>
      <w:r>
        <w:fldChar w:fldCharType="separate"/>
      </w:r>
      <w:r>
        <w:t xml:space="preserve">1. Национальная оценка рисков легализации (отмывания) преступных доходов. – URL: https://data.nalog.ru/html/sites/www.new.nalog.ru/docs/kont/ot_orleg.pdf (дата обращения: 06.05.2026</w:t>
      </w:r>
      <w:r>
        <w:t xml:space="preserve">)  –</w:t>
      </w:r>
      <w:r>
        <w:t xml:space="preserve"> Текст: электронный.</w:t>
      </w:r>
      <w:r/>
    </w:p>
    <w:p w14:paraId="6435BAB5" w14:textId="77777777">
      <w:pPr>
        <w:pStyle w:val="1066"/>
        <w:pBdr/>
        <w:spacing/>
        <w:ind/>
        <w:rPr/>
      </w:pPr>
      <w:r>
        <w:t xml:space="preserve">2. Об утверждении «Методических указаний по проведению анализа финансового состояния ор</w:t>
      </w:r>
      <w:r>
        <w:t xml:space="preserve">ганизаций»  – Об утверждении «Методических указаний по проведению анализа финансового состояния организаций» / Приказ ФСФО России от 23 января 2001  г. № 16. – URL: https://docs.cntd.ru/document/901787982 (дата обращения: 06.05.2026)  – Текст: электронный.</w:t>
      </w:r>
      <w:r/>
    </w:p>
    <w:p w14:paraId="7C48946E" w14:textId="77777777">
      <w:pPr>
        <w:pStyle w:val="1066"/>
        <w:pBdr/>
        <w:spacing/>
        <w:ind/>
        <w:rPr/>
      </w:pPr>
      <w:r>
        <w:t xml:space="preserve">3. ПОЛОЖЕНИЕ ПО БУХГАЛТЕРСКОМУ УЧЕТУ «БУХГАЛТЕРСКАЯ ОТЧЕТНОСТЬ ОРГАНИЗАЦИИ» (ПБУ 4/99). – URL: https://minfin.gov.ru/common/upload/library/no_date/2010/PBU_4.pdf (дата обращения: 06.05.2026</w:t>
      </w:r>
      <w:r>
        <w:t xml:space="preserve">)  –</w:t>
      </w:r>
      <w:r>
        <w:t xml:space="preserve"> Текст: электронный.</w:t>
      </w:r>
      <w:r/>
    </w:p>
    <w:p w14:paraId="077348A2" w14:textId="77777777">
      <w:pPr>
        <w:pStyle w:val="1066"/>
        <w:pBdr/>
        <w:spacing/>
        <w:ind/>
        <w:rPr/>
      </w:pPr>
      <w:r>
        <w:t xml:space="preserve">4. Приказ Минфина России от 02.07.2010 N 66н (ред. от 19.04.2019) «О формах бу</w:t>
      </w:r>
      <w:r>
        <w:t xml:space="preserve">хгалтерской отчетности организаций» (Зарегистрировано в Минюсте России 02.08.2010 N 18023) (с изм. и доп., вступ. в силу с отчетности за 2020 год) \ КонсультантПлюс. – URL: https://www.consultant.ru/document/cons_doc_LAW_103394/ (дата обращения: 06.05.2026</w:t>
      </w:r>
      <w:r>
        <w:t xml:space="preserve">)  –</w:t>
      </w:r>
      <w:r>
        <w:t xml:space="preserve"> Текст: электронный.</w:t>
      </w:r>
      <w:r/>
    </w:p>
    <w:p w14:paraId="6CB62E50" w14:textId="77777777">
      <w:pPr>
        <w:pStyle w:val="1066"/>
        <w:pBdr/>
        <w:spacing/>
        <w:ind/>
        <w:rPr/>
      </w:pPr>
      <w:r>
        <w:t xml:space="preserve">5. Статья 18. Государственный информационный ресурс бухгалтерской (финансовой) отчетности \ КонсультантПлюс. – URL: https://www.consultant.ru/document/cons_doc_LAW_122855/daa8e03f934e0977a8b9fb670c5a4c880badea09/ (дата обращения: 06.05.2026</w:t>
      </w:r>
      <w:r>
        <w:t xml:space="preserve">)  –</w:t>
      </w:r>
      <w:r>
        <w:t xml:space="preserve"> Текст: электронный.</w:t>
      </w:r>
      <w:r/>
    </w:p>
    <w:p w14:paraId="241BAD7F" w14:textId="77777777">
      <w:pPr>
        <w:pStyle w:val="1066"/>
        <w:pBdr/>
        <w:spacing/>
        <w:ind/>
        <w:rPr/>
      </w:pPr>
      <w:r>
        <w:t xml:space="preserve">6. Федеральный закон от 30.12.2021 N 435-ФЗ — Редакция от 30.12.2021 — </w:t>
      </w:r>
      <w:r>
        <w:t xml:space="preserve">Контур.Норматив</w:t>
      </w:r>
      <w:r>
        <w:t xml:space="preserve">. – URL: https://normativ.kontur.ru/document?documentId=411058&amp;moduleId=1 (дата обращения: 06.05.2026</w:t>
      </w:r>
      <w:r>
        <w:t xml:space="preserve">)  –</w:t>
      </w:r>
      <w:r>
        <w:t xml:space="preserve"> Текст: электронный.</w:t>
      </w:r>
      <w:r/>
    </w:p>
    <w:p w14:paraId="54DBB37B" w14:textId="77777777">
      <w:pPr>
        <w:pStyle w:val="1066"/>
        <w:pBdr/>
        <w:spacing/>
        <w:ind/>
        <w:rPr/>
      </w:pPr>
      <w:r>
        <w:t xml:space="preserve">7. ФЕДЕРАЛЬНЫЙ СТАНДАРТ БУХГАЛТЕРСКОГО УЧЕТА ФСБУ 4/2023 «БУХГАЛТЕРСКАЯ (ФИНАНСОВАЯ) ОТЧЕТНОСТЬ» \ КонсультантПлюс. – URL: https://www.consultant.ru/document/cons_doc_LAW_472684/552e4f85ef02bf4fd75d2ee6d478849e354d4dc9/ (дата обращения: 06.05.2026</w:t>
      </w:r>
      <w:r>
        <w:t xml:space="preserve">)  –</w:t>
      </w:r>
      <w:r>
        <w:t xml:space="preserve"> Текст: электронный.</w:t>
      </w:r>
      <w:r/>
    </w:p>
    <w:p w14:paraId="17285CB8" w14:textId="7E699018">
      <w:pPr>
        <w:pBdr/>
        <w:spacing/>
        <w:ind/>
        <w:rPr/>
      </w:pPr>
      <w:r>
        <w:fldChar w:fldCharType="end"/>
      </w:r>
      <w:r/>
    </w:p>
    <w:sectPr>
      <w:footnotePr/>
      <w:endnotePr/>
      <w:type w:val="nextPage"/>
      <w:pgSz w:h="16838" w:orient="portrait" w:w="11906"/>
      <w:pgMar w:top="1134" w:right="851" w:bottom="1134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2C555AA6" w14:textId="77777777">
      <w:pPr>
        <w:pBdr/>
        <w:spacing w:after="0" w:line="240" w:lineRule="auto"/>
        <w:ind/>
        <w:rPr/>
      </w:pPr>
      <w:r>
        <w:separator/>
      </w:r>
      <w:r/>
    </w:p>
    <w:p w14:paraId="61836267" w14:textId="77777777">
      <w:pPr>
        <w:pBdr/>
        <w:spacing/>
        <w:ind/>
        <w:rPr/>
      </w:pPr>
      <w:r/>
      <w:r/>
    </w:p>
    <w:p w14:paraId="0862E9EE" w14:textId="77777777">
      <w:pPr>
        <w:pBdr/>
        <w:spacing/>
        <w:ind/>
        <w:rPr/>
      </w:pPr>
      <w:r/>
      <w:r/>
    </w:p>
    <w:p w14:paraId="55B50123" w14:textId="77777777">
      <w:pPr>
        <w:pBdr/>
        <w:spacing/>
        <w:ind/>
        <w:rPr/>
      </w:pPr>
      <w:r/>
      <w:r/>
    </w:p>
  </w:endnote>
  <w:endnote w:type="continuationSeparator" w:id="0">
    <w:p w14:paraId="4E951DEF" w14:textId="77777777">
      <w:pPr>
        <w:pBdr/>
        <w:spacing w:after="0" w:line="240" w:lineRule="auto"/>
        <w:ind/>
        <w:rPr/>
      </w:pPr>
      <w:r>
        <w:continuationSeparator/>
      </w:r>
      <w:r/>
    </w:p>
    <w:p w14:paraId="49AA456C" w14:textId="77777777">
      <w:pPr>
        <w:pBdr/>
        <w:spacing/>
        <w:ind/>
        <w:rPr/>
      </w:pPr>
      <w:r/>
      <w:r/>
    </w:p>
    <w:p w14:paraId="243613C8" w14:textId="77777777">
      <w:pPr>
        <w:pBdr/>
        <w:spacing/>
        <w:ind/>
        <w:rPr/>
      </w:pPr>
      <w:r/>
      <w:r/>
    </w:p>
    <w:p w14:paraId="49A1A770" w14:textId="77777777"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Segoe UI">
    <w:panose1 w:val="020B05020404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13D18D7F" w14:textId="77777777">
      <w:pPr>
        <w:pBdr/>
        <w:spacing w:after="0" w:line="240" w:lineRule="auto"/>
        <w:ind/>
        <w:rPr/>
      </w:pPr>
      <w:r>
        <w:separator/>
      </w:r>
      <w:r/>
    </w:p>
    <w:p w14:paraId="692DF6B5" w14:textId="77777777">
      <w:pPr>
        <w:pBdr/>
        <w:spacing/>
        <w:ind/>
        <w:rPr/>
      </w:pPr>
      <w:r/>
      <w:r/>
    </w:p>
    <w:p w14:paraId="235E7917" w14:textId="77777777">
      <w:pPr>
        <w:pBdr/>
        <w:spacing/>
        <w:ind/>
        <w:rPr/>
      </w:pPr>
      <w:r/>
      <w:r/>
    </w:p>
    <w:p w14:paraId="7A581A14" w14:textId="77777777">
      <w:pPr>
        <w:pBdr/>
        <w:spacing/>
        <w:ind/>
        <w:rPr/>
      </w:pPr>
      <w:r/>
      <w:r/>
    </w:p>
  </w:footnote>
  <w:footnote w:type="continuationSeparator" w:id="0">
    <w:p w14:paraId="4FFBBC34" w14:textId="77777777">
      <w:pPr>
        <w:pBdr/>
        <w:spacing w:after="0" w:line="240" w:lineRule="auto"/>
        <w:ind/>
        <w:rPr/>
      </w:pPr>
      <w:r>
        <w:continuationSeparator/>
      </w:r>
      <w:r/>
    </w:p>
    <w:p w14:paraId="077007BD" w14:textId="77777777">
      <w:pPr>
        <w:pBdr/>
        <w:spacing/>
        <w:ind/>
        <w:rPr/>
      </w:pPr>
      <w:r/>
      <w:r/>
    </w:p>
    <w:p w14:paraId="6FE57FE6" w14:textId="77777777">
      <w:pPr>
        <w:pBdr/>
        <w:spacing/>
        <w:ind/>
        <w:rPr/>
      </w:pPr>
      <w:r/>
      <w:r/>
    </w:p>
    <w:p w14:paraId="52689B21" w14:textId="77777777">
      <w:pPr>
        <w:pBdr/>
        <w:spacing/>
        <w:ind/>
        <w:rPr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13F8C"/>
    <w:lvl w:ilvl="0">
      <w:isLgl w:val="false"/>
      <w:lvlJc w:val="left"/>
      <w:lvlText w:val="%1"/>
      <w:numFmt w:val="decimal"/>
      <w:pPr>
        <w:pBdr/>
        <w:spacing/>
        <w:ind w:hanging="360" w:left="3314"/>
      </w:pPr>
      <w:pStyle w:val="845"/>
      <w:rPr>
        <w:rFonts w:hint="default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360" w:left="4105"/>
      </w:pPr>
      <w:rPr>
        <w:rFonts w:hint="default"/>
      </w:rPr>
      <w:start w:val="2"/>
      <w:suff w:val="tab"/>
    </w:lvl>
    <w:lvl w:ilvl="2">
      <w:isLgl w:val="true"/>
      <w:lvlJc w:val="left"/>
      <w:lvlText w:val="%1.%2.%3"/>
      <w:numFmt w:val="decimal"/>
      <w:pPr>
        <w:pBdr/>
        <w:spacing/>
        <w:ind w:hanging="720" w:left="5256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1080" w:left="6407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7198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440" w:left="8349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914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800" w:left="10291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2160" w:left="11442"/>
      </w:pPr>
      <w:rPr>
        <w:rFonts w:hint="default"/>
      </w:rPr>
      <w:start w:val="1"/>
      <w:suff w:val="tab"/>
    </w:lvl>
  </w:abstractNum>
  <w:abstractNum w:abstractNumId="1">
    <w:nsid w:val="03DC3532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ascii="Times New Roman" w:hAnsi="Times New Roman" w:eastAsiaTheme="minorEastAsia" w:cstheme="minorBidi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">
    <w:nsid w:val="04F83B19"/>
    <w:lvl w:ilvl="0">
      <w:isLgl w:val="false"/>
      <w:lvlJc w:val="left"/>
      <w:lvlText w:val="%1"/>
      <w:numFmt w:val="decimal"/>
      <w:pPr>
        <w:pBdr/>
        <w:spacing/>
        <w:ind w:hanging="576" w:left="576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576" w:left="930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2142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2496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321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356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4278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4992"/>
      </w:pPr>
      <w:rPr>
        <w:rFonts w:hint="default"/>
      </w:rPr>
      <w:start w:val="1"/>
      <w:suff w:val="tab"/>
    </w:lvl>
  </w:abstractNum>
  <w:abstractNum w:abstractNumId="3">
    <w:nsid w:val="07B44541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">
    <w:nsid w:val="0D1762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0DA7777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0DAB1BBA"/>
    <w:lvl w:ilvl="0">
      <w:isLgl w:val="false"/>
      <w:lvlJc w:val="left"/>
      <w:lvlText w:val="%1"/>
      <w:numFmt w:val="decimal"/>
      <w:pPr>
        <w:pBdr/>
        <w:spacing/>
        <w:ind w:hanging="432" w:left="432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576" w:left="576"/>
      </w:pPr>
      <w:pStyle w:val="846"/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pStyle w:val="847"/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864" w:left="864"/>
      </w:pPr>
      <w:pStyle w:val="848"/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08" w:left="1008"/>
      </w:pPr>
      <w:pStyle w:val="849"/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152" w:left="1152"/>
      </w:pPr>
      <w:pStyle w:val="850"/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296" w:left="1296"/>
      </w:pPr>
      <w:pStyle w:val="851"/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pStyle w:val="852"/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584" w:left="1584"/>
      </w:pPr>
      <w:pStyle w:val="853"/>
      <w:rPr/>
      <w:start w:val="1"/>
      <w:suff w:val="tab"/>
    </w:lvl>
  </w:abstractNum>
  <w:abstractNum w:abstractNumId="7">
    <w:nsid w:val="1279615D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150B7AB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15866038"/>
    <w:lvl w:ilvl="0">
      <w:isLgl w:val="false"/>
      <w:lvlJc w:val="left"/>
      <w:lvlText w:val="%1."/>
      <w:numFmt w:val="decimal"/>
      <w:pPr>
        <w:pBdr/>
        <w:spacing/>
        <w:ind w:hanging="360" w:left="142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10">
    <w:nsid w:val="165312C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nsid w:val="16A154BD"/>
    <w:lvl w:ilvl="0">
      <w:isLgl w:val="false"/>
      <w:lvlJc w:val="left"/>
      <w:lvlText w:val="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12">
    <w:nsid w:val="187036B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193E0A76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14">
    <w:nsid w:val="1AF30AB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nsid w:val="1B280165"/>
    <w:lvl w:ilvl="0">
      <w:isLgl w:val="false"/>
      <w:lvlJc w:val="left"/>
      <w:lvlText w:val="%1"/>
      <w:numFmt w:val="decimal"/>
      <w:pPr>
        <w:pBdr/>
        <w:spacing/>
        <w:ind w:hanging="360" w:left="3314"/>
      </w:pPr>
      <w:rPr>
        <w:rFonts w:hint="default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360" w:left="4105"/>
      </w:pPr>
      <w:rPr>
        <w:rFonts w:hint="default"/>
      </w:rPr>
      <w:start w:val="2"/>
      <w:suff w:val="tab"/>
    </w:lvl>
    <w:lvl w:ilvl="2">
      <w:isLgl w:val="true"/>
      <w:lvlJc w:val="left"/>
      <w:lvlText w:val="%1.%2.%3"/>
      <w:numFmt w:val="decimal"/>
      <w:pPr>
        <w:pBdr/>
        <w:spacing/>
        <w:ind w:hanging="720" w:left="5256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1080" w:left="6407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7198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440" w:left="8349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914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800" w:left="10291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2160" w:left="11442"/>
      </w:pPr>
      <w:rPr>
        <w:rFonts w:hint="default"/>
      </w:rPr>
      <w:start w:val="1"/>
      <w:suff w:val="tab"/>
    </w:lvl>
  </w:abstractNum>
  <w:abstractNum w:abstractNumId="16">
    <w:nsid w:val="22873C1E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nsid w:val="23C3343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nsid w:val="26AF4908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9">
    <w:nsid w:val="304913D4"/>
    <w:lvl w:ilvl="0">
      <w:isLgl w:val="false"/>
      <w:lvlJc w:val="left"/>
      <w:lvlText w:val="%1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2160"/>
      </w:pPr>
      <w:rPr>
        <w:rFonts w:hint="default"/>
      </w:rPr>
      <w:start w:val="1"/>
      <w:suff w:val="tab"/>
    </w:lvl>
  </w:abstractNum>
  <w:abstractNum w:abstractNumId="20">
    <w:nsid w:val="3065579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30F72B40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2">
    <w:nsid w:val="31DA411F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3">
    <w:nsid w:val="32220C1E"/>
    <w:lvl w:ilvl="0">
      <w:isLgl w:val="false"/>
      <w:lvlJc w:val="left"/>
      <w:lvlText w:val="%1."/>
      <w:numFmt w:val="decimal"/>
      <w:pPr>
        <w:pBdr/>
        <w:spacing/>
        <w:ind w:hanging="360" w:left="142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24">
    <w:nsid w:val="343D4811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5">
    <w:nsid w:val="34E9197C"/>
    <w:lvl w:ilvl="0">
      <w:isLgl w:val="false"/>
      <w:lvlJc w:val="left"/>
      <w:lvlText w:val="%1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3207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498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676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7832"/>
      </w:pPr>
      <w:rPr>
        <w:rFonts w:hint="default"/>
      </w:rPr>
      <w:start w:val="1"/>
      <w:suff w:val="tab"/>
    </w:lvl>
  </w:abstractNum>
  <w:abstractNum w:abstractNumId="26">
    <w:nsid w:val="3A840A9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nsid w:val="3BA620D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3E4B7618"/>
    <w:lvl w:ilvl="0">
      <w:isLgl w:val="false"/>
      <w:lvlJc w:val="left"/>
      <w:lvlText w:val="%1.1"/>
      <w:numFmt w:val="decimal"/>
      <w:pPr>
        <w:pBdr/>
        <w:spacing/>
        <w:ind w:hanging="360" w:left="15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60"/>
      </w:pPr>
      <w:rPr/>
      <w:start w:val="1"/>
      <w:suff w:val="tab"/>
    </w:lvl>
  </w:abstractNum>
  <w:abstractNum w:abstractNumId="29">
    <w:nsid w:val="3F514CE2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nsid w:val="40955890"/>
    <w:lvl w:ilvl="0">
      <w:isLgl w:val="false"/>
      <w:lvlJc w:val="left"/>
      <w:lvlText w:val="%1.1"/>
      <w:numFmt w:val="decimal"/>
      <w:pPr>
        <w:pBdr/>
        <w:spacing/>
        <w:ind w:hanging="360" w:left="15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60"/>
      </w:pPr>
      <w:rPr/>
      <w:start w:val="1"/>
      <w:suff w:val="tab"/>
    </w:lvl>
  </w:abstractNum>
  <w:abstractNum w:abstractNumId="31">
    <w:nsid w:val="462A725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2">
    <w:nsid w:val="47415820"/>
    <w:lvl w:ilvl="0">
      <w:isLgl w:val="false"/>
      <w:lvlJc w:val="left"/>
      <w:lvlText w:val="%1.1"/>
      <w:numFmt w:val="decimal"/>
      <w:pPr>
        <w:pBdr/>
        <w:spacing/>
        <w:ind w:hanging="360" w:left="15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60"/>
      </w:pPr>
      <w:rPr/>
      <w:start w:val="1"/>
      <w:suff w:val="tab"/>
    </w:lvl>
  </w:abstractNum>
  <w:abstractNum w:abstractNumId="33">
    <w:nsid w:val="4CD96B76"/>
    <w:lvl w:ilvl="0">
      <w:isLgl w:val="false"/>
      <w:lvlJc w:val="left"/>
      <w:lvlText w:val="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4">
    <w:nsid w:val="504959C7"/>
    <w:lvl w:ilvl="0">
      <w:isLgl w:val="false"/>
      <w:lvlJc w:val="left"/>
      <w:lvlText w:val="%1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3207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498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676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7832"/>
      </w:pPr>
      <w:rPr>
        <w:rFonts w:hint="default"/>
      </w:rPr>
      <w:start w:val="1"/>
      <w:suff w:val="tab"/>
    </w:lvl>
  </w:abstractNum>
  <w:abstractNum w:abstractNumId="35">
    <w:nsid w:val="592D66D5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36">
    <w:nsid w:val="5B96615C"/>
    <w:lvl w:ilvl="0">
      <w:isLgl w:val="false"/>
      <w:lvlJc w:val="left"/>
      <w:lvlText w:val="%1."/>
      <w:numFmt w:val="decimal"/>
      <w:pPr>
        <w:pBdr/>
        <w:spacing/>
        <w:ind w:hanging="360" w:left="142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37">
    <w:nsid w:val="5BEA5DB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spacing/>
        <w:ind w:hanging="720" w:left="1778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1080" w:left="2487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2836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440" w:left="3545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389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800" w:left="4603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2160" w:left="5312"/>
      </w:pPr>
      <w:rPr>
        <w:rFonts w:hint="default"/>
      </w:rPr>
      <w:start w:val="1"/>
      <w:suff w:val="tab"/>
    </w:lvl>
  </w:abstractNum>
  <w:abstractNum w:abstractNumId="38">
    <w:nsid w:val="5FA167CF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9">
    <w:nsid w:val="60237760"/>
    <w:lvl w:ilvl="0">
      <w:isLgl w:val="false"/>
      <w:lvlJc w:val="left"/>
      <w:lvlText w:val="%1"/>
      <w:numFmt w:val="decimal"/>
      <w:pPr>
        <w:pBdr/>
        <w:spacing/>
        <w:ind w:hanging="624" w:left="624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624" w:left="978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2142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2496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321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356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4278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4992"/>
      </w:pPr>
      <w:rPr>
        <w:rFonts w:hint="default"/>
      </w:rPr>
      <w:start w:val="1"/>
      <w:suff w:val="tab"/>
    </w:lvl>
  </w:abstractNum>
  <w:abstractNum w:abstractNumId="40">
    <w:nsid w:val="60D23522"/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41">
    <w:nsid w:val="61067BEB"/>
    <w:lvl w:ilvl="0">
      <w:isLgl w:val="false"/>
      <w:lvlJc w:val="left"/>
      <w:lvlText w:val="%1."/>
      <w:numFmt w:val="decimal"/>
      <w:pPr>
        <w:pBdr/>
        <w:spacing/>
        <w:ind w:hanging="360" w:left="135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7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9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1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3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95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7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9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17"/>
      </w:pPr>
      <w:rPr/>
      <w:start w:val="1"/>
      <w:suff w:val="tab"/>
    </w:lvl>
  </w:abstractNum>
  <w:abstractNum w:abstractNumId="42">
    <w:nsid w:val="730148A0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3">
    <w:nsid w:val="742170A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4">
    <w:nsid w:val="74FA7BF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5">
    <w:nsid w:val="75D7089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6">
    <w:nsid w:val="7AFA25EA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7">
    <w:nsid w:val="7EA01293"/>
    <w:lvl w:ilvl="0">
      <w:isLgl w:val="false"/>
      <w:lvlJc w:val="left"/>
      <w:lvlText w:val="%1."/>
      <w:numFmt w:val="decimal"/>
      <w:pPr>
        <w:pBdr/>
        <w:spacing/>
        <w:ind w:hanging="360" w:left="142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num w:numId="1">
    <w:abstractNumId w:val="19"/>
  </w:num>
  <w:num w:numId="2">
    <w:abstractNumId w:val="20"/>
  </w:num>
  <w:num w:numId="3">
    <w:abstractNumId w:val="8"/>
  </w:num>
  <w:num w:numId="4">
    <w:abstractNumId w:val="13"/>
  </w:num>
  <w:num w:numId="5">
    <w:abstractNumId w:val="33"/>
  </w:num>
  <w:num w:numId="6">
    <w:abstractNumId w:val="25"/>
  </w:num>
  <w:num w:numId="7">
    <w:abstractNumId w:val="35"/>
  </w:num>
  <w:num w:numId="8">
    <w:abstractNumId w:val="18"/>
  </w:num>
  <w:num w:numId="9">
    <w:abstractNumId w:val="0"/>
  </w:num>
  <w:num w:numId="10">
    <w:abstractNumId w:val="30"/>
  </w:num>
  <w:num w:numId="11">
    <w:abstractNumId w:val="2"/>
  </w:num>
  <w:num w:numId="12">
    <w:abstractNumId w:val="39"/>
  </w:num>
  <w:num w:numId="13">
    <w:abstractNumId w:val="29"/>
  </w:num>
  <w:num w:numId="14">
    <w:abstractNumId w:val="1"/>
  </w:num>
  <w:num w:numId="15">
    <w:abstractNumId w:val="10"/>
  </w:num>
  <w:num w:numId="16">
    <w:abstractNumId w:val="27"/>
  </w:num>
  <w:num w:numId="17">
    <w:abstractNumId w:val="45"/>
  </w:num>
  <w:num w:numId="18">
    <w:abstractNumId w:val="12"/>
  </w:num>
  <w:num w:numId="19">
    <w:abstractNumId w:val="28"/>
  </w:num>
  <w:num w:numId="20">
    <w:abstractNumId w:val="32"/>
  </w:num>
  <w:num w:numId="21">
    <w:abstractNumId w:val="15"/>
  </w:num>
  <w:num w:numId="22">
    <w:abstractNumId w:val="26"/>
  </w:num>
  <w:num w:numId="23">
    <w:abstractNumId w:val="31"/>
  </w:num>
  <w:num w:numId="24">
    <w:abstractNumId w:val="44"/>
  </w:num>
  <w:num w:numId="25">
    <w:abstractNumId w:val="17"/>
  </w:num>
  <w:num w:numId="26">
    <w:abstractNumId w:val="14"/>
  </w:num>
  <w:num w:numId="27">
    <w:abstractNumId w:val="36"/>
  </w:num>
  <w:num w:numId="28">
    <w:abstractNumId w:val="21"/>
  </w:num>
  <w:num w:numId="29">
    <w:abstractNumId w:val="23"/>
  </w:num>
  <w:num w:numId="30">
    <w:abstractNumId w:val="6"/>
  </w:num>
  <w:num w:numId="31">
    <w:abstractNumId w:val="3"/>
  </w:num>
  <w:num w:numId="32">
    <w:abstractNumId w:val="40"/>
  </w:num>
  <w:num w:numId="33">
    <w:abstractNumId w:val="38"/>
  </w:num>
  <w:num w:numId="34">
    <w:abstractNumId w:val="46"/>
  </w:num>
  <w:num w:numId="35">
    <w:abstractNumId w:val="7"/>
  </w:num>
  <w:num w:numId="36">
    <w:abstractNumId w:val="24"/>
  </w:num>
  <w:num w:numId="37">
    <w:abstractNumId w:val="16"/>
  </w:num>
  <w:num w:numId="38">
    <w:abstractNumId w:val="47"/>
  </w:num>
  <w:num w:numId="39">
    <w:abstractNumId w:val="11"/>
  </w:num>
  <w:num w:numId="40">
    <w:abstractNumId w:val="42"/>
  </w:num>
  <w:num w:numId="41">
    <w:abstractNumId w:val="22"/>
  </w:num>
  <w:num w:numId="42">
    <w:abstractNumId w:val="4"/>
  </w:num>
  <w:num w:numId="43">
    <w:abstractNumId w:val="9"/>
  </w:num>
  <w:num w:numId="44">
    <w:abstractNumId w:val="34"/>
  </w:num>
  <w:num w:numId="45">
    <w:abstractNumId w:val="37"/>
  </w:num>
  <w:num w:numId="46">
    <w:abstractNumId w:val="41"/>
  </w:num>
  <w:num w:numId="47">
    <w:abstractNumId w:val="5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0">
    <w:name w:val="Title Char"/>
    <w:basedOn w:val="854"/>
    <w:link w:val="99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54"/>
    <w:link w:val="99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854"/>
    <w:link w:val="99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854"/>
    <w:link w:val="99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2">
    <w:name w:val="Footnote Text Char"/>
    <w:basedOn w:val="854"/>
    <w:link w:val="1007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854"/>
    <w:link w:val="1010"/>
    <w:uiPriority w:val="99"/>
    <w:semiHidden/>
    <w:pPr>
      <w:pBdr/>
      <w:spacing/>
      <w:ind/>
    </w:pPr>
    <w:rPr>
      <w:sz w:val="20"/>
      <w:szCs w:val="20"/>
    </w:rPr>
  </w:style>
  <w:style w:type="paragraph" w:styleId="844" w:default="1">
    <w:name w:val="Normal"/>
    <w:qFormat/>
    <w:pPr>
      <w:pBdr/>
      <w:spacing/>
      <w:ind/>
    </w:pPr>
    <w:rPr>
      <w:rFonts w:ascii="Times New Roman" w:hAnsi="Times New Roman" w:eastAsiaTheme="minorEastAsia"/>
      <w:sz w:val="28"/>
      <w:lang w:eastAsia="ru-RU"/>
    </w:rPr>
  </w:style>
  <w:style w:type="paragraph" w:styleId="845">
    <w:name w:val="Heading 1"/>
    <w:basedOn w:val="844"/>
    <w:next w:val="844"/>
    <w:link w:val="1029"/>
    <w:uiPriority w:val="9"/>
    <w:qFormat/>
    <w:pPr>
      <w:keepNext w:val="true"/>
      <w:keepLines w:val="true"/>
      <w:pageBreakBefore w:val="true"/>
      <w:numPr>
        <w:numId w:val="9"/>
      </w:numPr>
      <w:pBdr/>
      <w:spacing w:before="200" w:line="360" w:lineRule="auto"/>
      <w:ind w:firstLine="709" w:left="0"/>
      <w:contextualSpacing w:val="true"/>
      <w:outlineLvl w:val="0"/>
    </w:pPr>
    <w:rPr>
      <w:rFonts w:cs="Times New Roman" w:eastAsiaTheme="majorEastAsia"/>
      <w:b/>
      <w:bCs/>
      <w:color w:val="000000" w:themeColor="text1"/>
      <w:szCs w:val="28"/>
    </w:rPr>
  </w:style>
  <w:style w:type="paragraph" w:styleId="846">
    <w:name w:val="Heading 2"/>
    <w:basedOn w:val="844"/>
    <w:next w:val="844"/>
    <w:link w:val="1034"/>
    <w:uiPriority w:val="9"/>
    <w:unhideWhenUsed/>
    <w:qFormat/>
    <w:pPr>
      <w:keepNext w:val="true"/>
      <w:keepLines w:val="true"/>
      <w:numPr>
        <w:ilvl w:val="1"/>
        <w:numId w:val="30"/>
      </w:numPr>
      <w:pBdr/>
      <w:spacing w:before="200" w:line="360" w:lineRule="auto"/>
      <w:ind w:firstLine="0" w:left="709"/>
      <w:contextualSpacing w:val="true"/>
      <w:outlineLvl w:val="1"/>
    </w:pPr>
    <w:rPr>
      <w:rFonts w:cs="Times New Roman" w:eastAsiaTheme="majorEastAsia"/>
      <w:b/>
      <w:bCs/>
      <w:color w:val="000000" w:themeColor="text1"/>
      <w:szCs w:val="28"/>
    </w:rPr>
  </w:style>
  <w:style w:type="paragraph" w:styleId="847">
    <w:name w:val="Heading 3"/>
    <w:basedOn w:val="846"/>
    <w:next w:val="844"/>
    <w:link w:val="1045"/>
    <w:uiPriority w:val="9"/>
    <w:unhideWhenUsed/>
    <w:qFormat/>
    <w:pPr>
      <w:numPr>
        <w:ilvl w:val="2"/>
      </w:numPr>
      <w:pBdr/>
      <w:spacing/>
      <w:ind/>
      <w:outlineLvl w:val="2"/>
    </w:pPr>
    <w:rPr>
      <w:i/>
    </w:rPr>
  </w:style>
  <w:style w:type="paragraph" w:styleId="848">
    <w:name w:val="Heading 4"/>
    <w:basedOn w:val="847"/>
    <w:next w:val="844"/>
    <w:link w:val="1033"/>
    <w:uiPriority w:val="9"/>
    <w:unhideWhenUsed/>
    <w:qFormat/>
    <w:pPr>
      <w:numPr>
        <w:ilvl w:val="3"/>
      </w:numPr>
      <w:pBdr/>
      <w:spacing/>
      <w:ind/>
      <w:contextualSpacing w:val="false"/>
      <w:outlineLvl w:val="3"/>
    </w:pPr>
    <w:rPr>
      <w:b w:val="0"/>
    </w:rPr>
  </w:style>
  <w:style w:type="paragraph" w:styleId="849">
    <w:name w:val="Heading 5"/>
    <w:basedOn w:val="844"/>
    <w:next w:val="844"/>
    <w:link w:val="1049"/>
    <w:uiPriority w:val="9"/>
    <w:semiHidden/>
    <w:unhideWhenUsed/>
    <w:qFormat/>
    <w:pPr>
      <w:keepNext w:val="true"/>
      <w:keepLines w:val="true"/>
      <w:numPr>
        <w:ilvl w:val="4"/>
        <w:numId w:val="30"/>
      </w:numPr>
      <w:pBdr/>
      <w:spacing w:after="0" w:before="40"/>
      <w:ind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850">
    <w:name w:val="Heading 6"/>
    <w:basedOn w:val="844"/>
    <w:next w:val="844"/>
    <w:link w:val="1050"/>
    <w:uiPriority w:val="9"/>
    <w:semiHidden/>
    <w:unhideWhenUsed/>
    <w:qFormat/>
    <w:pPr>
      <w:keepNext w:val="true"/>
      <w:keepLines w:val="true"/>
      <w:numPr>
        <w:ilvl w:val="5"/>
        <w:numId w:val="30"/>
      </w:numPr>
      <w:pBdr/>
      <w:spacing w:after="0" w:before="40"/>
      <w:ind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51">
    <w:name w:val="Heading 7"/>
    <w:basedOn w:val="844"/>
    <w:next w:val="844"/>
    <w:link w:val="1051"/>
    <w:uiPriority w:val="9"/>
    <w:semiHidden/>
    <w:unhideWhenUsed/>
    <w:qFormat/>
    <w:pPr>
      <w:keepNext w:val="true"/>
      <w:keepLines w:val="true"/>
      <w:numPr>
        <w:ilvl w:val="6"/>
        <w:numId w:val="30"/>
      </w:numPr>
      <w:pBdr/>
      <w:spacing w:after="0" w:before="40"/>
      <w:ind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852">
    <w:name w:val="Heading 8"/>
    <w:basedOn w:val="844"/>
    <w:next w:val="844"/>
    <w:link w:val="1052"/>
    <w:uiPriority w:val="9"/>
    <w:semiHidden/>
    <w:unhideWhenUsed/>
    <w:qFormat/>
    <w:pPr>
      <w:keepNext w:val="true"/>
      <w:keepLines w:val="true"/>
      <w:numPr>
        <w:ilvl w:val="7"/>
        <w:numId w:val="30"/>
      </w:numPr>
      <w:pBdr/>
      <w:spacing w:after="0" w:before="40"/>
      <w:ind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853">
    <w:name w:val="Heading 9"/>
    <w:basedOn w:val="844"/>
    <w:next w:val="844"/>
    <w:link w:val="1053"/>
    <w:uiPriority w:val="9"/>
    <w:semiHidden/>
    <w:unhideWhenUsed/>
    <w:qFormat/>
    <w:pPr>
      <w:keepNext w:val="true"/>
      <w:keepLines w:val="true"/>
      <w:numPr>
        <w:ilvl w:val="8"/>
        <w:numId w:val="30"/>
      </w:numPr>
      <w:pBdr/>
      <w:spacing w:after="0" w:before="40"/>
      <w:ind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854" w:default="1">
    <w:name w:val="Default Paragraph Font"/>
    <w:uiPriority w:val="1"/>
    <w:unhideWhenUsed/>
    <w:pPr>
      <w:pBdr/>
      <w:spacing/>
      <w:ind/>
    </w:pPr>
  </w:style>
  <w:style w:type="table" w:styleId="85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6" w:default="1">
    <w:name w:val="No List"/>
    <w:uiPriority w:val="99"/>
    <w:semiHidden/>
    <w:unhideWhenUsed/>
    <w:pPr>
      <w:pBdr/>
      <w:spacing/>
      <w:ind/>
    </w:pPr>
  </w:style>
  <w:style w:type="table" w:styleId="857" w:customStyle="1">
    <w:name w:val="Table Grid Light"/>
    <w:basedOn w:val="85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Plain Table 1"/>
    <w:basedOn w:val="85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Plain Table 2"/>
    <w:basedOn w:val="85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Plain Table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Plain Table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Plain Table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1 Light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1 Light - Accent 1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1 Light - Accent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1 Light - Accent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1 Light - Accent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1 Light - Accent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1 Light - Accent 6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2 - Accent 1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2 - Accent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2 - Accent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2 - Accent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2 - Accent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2 - Accent 6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3 - Accent 1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3 - Accent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3 - Accent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3 - Accent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3 - Accent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3 - Accent 6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4"/>
    <w:basedOn w:val="85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4 - Accent 1"/>
    <w:basedOn w:val="85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4 - Accent 2"/>
    <w:basedOn w:val="85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4 - Accent 3"/>
    <w:basedOn w:val="85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4 - Accent 4"/>
    <w:basedOn w:val="85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4 - Accent 5"/>
    <w:basedOn w:val="85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4 - Accent 6"/>
    <w:basedOn w:val="85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5 Dark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5 Dark- Accent 1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5 Dark - Accent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5 Dark - Accent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5 Dark- Accent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5 Dark - Accent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5 Dark - Accent 6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6 Colorful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6 Colorful - Accent 1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6 Colorful - Accent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6 Colorful - Accent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6 Colorful - Accent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6 Colorful - Accent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6 Colorful - Accent 6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7 Colorful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7 Colorful - Accent 1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7 Colorful - Accent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7 Colorful - Accent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7 Colorful - Accent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7 Colorful - Accent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7 Colorful - Accent 6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1 Light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1 Light - Accent 1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1 Light - Accent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1 Light - Accent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1 Light - Accent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1 Light - Accent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1 Light - Accent 6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2 - Accent 1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2 - Accent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2 - Accent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2 - Accent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2 - Accent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2 - Accent 6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3 - Accent 1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3 - Accent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3 - Accent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3 - Accent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3 - Accent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3 - Accent 6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4 - Accent 1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4 - Accent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4 - Accent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4 - Accent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4 - Accent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4 - Accent 6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5 Dark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5 Dark - Accent 1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5 Dark - Accent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5 Dark - Accent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5 Dark - Accent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5 Dark - Accent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5 Dark - Accent 6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6 Colorful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6 Colorful - Accent 1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6 Colorful - Accent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6 Colorful - Accent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6 Colorful - Accent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6 Colorful - Accent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6 Colorful - Accent 6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7 Colorful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7 Colorful - Accent 1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7 Colorful - Accent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7 Colorful - Accent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7 Colorful - Accent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7 Colorful - Accent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7 Colorful - Accent 6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ned - Accent"/>
    <w:basedOn w:val="85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ned - Accent 1"/>
    <w:basedOn w:val="85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ned - Accent 2"/>
    <w:basedOn w:val="85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ned - Accent 3"/>
    <w:basedOn w:val="85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ned - Accent 4"/>
    <w:basedOn w:val="85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ned - Accent 5"/>
    <w:basedOn w:val="85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ned - Accent 6"/>
    <w:basedOn w:val="85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&amp; Lined - Accent"/>
    <w:basedOn w:val="85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&amp; Lined - Accent 1"/>
    <w:basedOn w:val="85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Bordered &amp; Lined - Accent 2"/>
    <w:basedOn w:val="85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Bordered &amp; Lined - Accent 3"/>
    <w:basedOn w:val="85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Bordered &amp; Lined - Accent 4"/>
    <w:basedOn w:val="85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&amp; Lined - Accent 5"/>
    <w:basedOn w:val="85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Bordered &amp; Lined - Accent 6"/>
    <w:basedOn w:val="855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Bordered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- Accent 1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Bordered - Accent 2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- Accent 3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 - Accent 4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 - Accent 5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- Accent 6"/>
    <w:basedOn w:val="8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82" w:customStyle="1">
    <w:name w:val="Heading 1 Char"/>
    <w:basedOn w:val="85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83" w:customStyle="1">
    <w:name w:val="Heading 2 Char"/>
    <w:basedOn w:val="85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84" w:customStyle="1">
    <w:name w:val="Heading 3 Char"/>
    <w:basedOn w:val="85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85" w:customStyle="1">
    <w:name w:val="Heading 4 Char"/>
    <w:basedOn w:val="854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86" w:customStyle="1">
    <w:name w:val="Heading 5 Char"/>
    <w:basedOn w:val="85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87" w:customStyle="1">
    <w:name w:val="Heading 6 Char"/>
    <w:basedOn w:val="85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88" w:customStyle="1">
    <w:name w:val="Heading 7 Char"/>
    <w:basedOn w:val="85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89" w:customStyle="1">
    <w:name w:val="Heading 8 Char"/>
    <w:basedOn w:val="85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90" w:customStyle="1">
    <w:name w:val="Heading 9 Char"/>
    <w:basedOn w:val="85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91">
    <w:name w:val="Title"/>
    <w:basedOn w:val="844"/>
    <w:next w:val="844"/>
    <w:link w:val="99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92" w:customStyle="1">
    <w:name w:val="Заголовок Знак"/>
    <w:basedOn w:val="854"/>
    <w:link w:val="99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93">
    <w:name w:val="Subtitle"/>
    <w:basedOn w:val="844"/>
    <w:next w:val="844"/>
    <w:link w:val="99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Cs w:val="28"/>
    </w:rPr>
  </w:style>
  <w:style w:type="character" w:styleId="994" w:customStyle="1">
    <w:name w:val="Подзаголовок Знак"/>
    <w:basedOn w:val="854"/>
    <w:link w:val="99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95">
    <w:name w:val="Quote"/>
    <w:basedOn w:val="844"/>
    <w:next w:val="844"/>
    <w:link w:val="99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96" w:customStyle="1">
    <w:name w:val="Цитата 2 Знак"/>
    <w:basedOn w:val="854"/>
    <w:link w:val="99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97">
    <w:name w:val="Intense Emphasis"/>
    <w:basedOn w:val="85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98">
    <w:name w:val="Intense Quote"/>
    <w:basedOn w:val="844"/>
    <w:next w:val="844"/>
    <w:link w:val="999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99" w:customStyle="1">
    <w:name w:val="Выделенная цитата Знак"/>
    <w:basedOn w:val="854"/>
    <w:link w:val="99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1000">
    <w:name w:val="Intense Reference"/>
    <w:basedOn w:val="85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1001">
    <w:name w:val="Subtle Emphasis"/>
    <w:basedOn w:val="85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02">
    <w:name w:val="Emphasis"/>
    <w:basedOn w:val="854"/>
    <w:uiPriority w:val="20"/>
    <w:qFormat/>
    <w:pPr>
      <w:pBdr/>
      <w:spacing/>
      <w:ind/>
    </w:pPr>
    <w:rPr>
      <w:i/>
      <w:iCs/>
    </w:rPr>
  </w:style>
  <w:style w:type="character" w:styleId="1003">
    <w:name w:val="Subtle Reference"/>
    <w:basedOn w:val="85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04">
    <w:name w:val="Book Title"/>
    <w:basedOn w:val="85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05" w:customStyle="1">
    <w:name w:val="Header Char"/>
    <w:basedOn w:val="854"/>
    <w:uiPriority w:val="99"/>
    <w:pPr>
      <w:pBdr/>
      <w:spacing/>
      <w:ind/>
    </w:pPr>
  </w:style>
  <w:style w:type="character" w:styleId="1006" w:customStyle="1">
    <w:name w:val="Footer Char"/>
    <w:basedOn w:val="854"/>
    <w:uiPriority w:val="99"/>
    <w:pPr>
      <w:pBdr/>
      <w:spacing/>
      <w:ind/>
    </w:pPr>
  </w:style>
  <w:style w:type="paragraph" w:styleId="1007">
    <w:name w:val="footnote text"/>
    <w:basedOn w:val="844"/>
    <w:link w:val="10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08" w:customStyle="1">
    <w:name w:val="Текст сноски Знак"/>
    <w:basedOn w:val="854"/>
    <w:link w:val="1007"/>
    <w:uiPriority w:val="99"/>
    <w:semiHidden/>
    <w:pPr>
      <w:pBdr/>
      <w:spacing/>
      <w:ind/>
    </w:pPr>
    <w:rPr>
      <w:sz w:val="20"/>
      <w:szCs w:val="20"/>
    </w:rPr>
  </w:style>
  <w:style w:type="character" w:styleId="1009">
    <w:name w:val="footnote reference"/>
    <w:basedOn w:val="854"/>
    <w:uiPriority w:val="99"/>
    <w:semiHidden/>
    <w:unhideWhenUsed/>
    <w:pPr>
      <w:pBdr/>
      <w:spacing/>
      <w:ind/>
    </w:pPr>
    <w:rPr>
      <w:vertAlign w:val="superscript"/>
    </w:rPr>
  </w:style>
  <w:style w:type="paragraph" w:styleId="1010">
    <w:name w:val="endnote text"/>
    <w:basedOn w:val="844"/>
    <w:link w:val="101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11" w:customStyle="1">
    <w:name w:val="Текст концевой сноски Знак"/>
    <w:basedOn w:val="854"/>
    <w:link w:val="1010"/>
    <w:uiPriority w:val="99"/>
    <w:semiHidden/>
    <w:pPr>
      <w:pBdr/>
      <w:spacing/>
      <w:ind/>
    </w:pPr>
    <w:rPr>
      <w:sz w:val="20"/>
      <w:szCs w:val="20"/>
    </w:rPr>
  </w:style>
  <w:style w:type="character" w:styleId="1012">
    <w:name w:val="endnote reference"/>
    <w:basedOn w:val="854"/>
    <w:uiPriority w:val="99"/>
    <w:semiHidden/>
    <w:unhideWhenUsed/>
    <w:pPr>
      <w:pBdr/>
      <w:spacing/>
      <w:ind/>
    </w:pPr>
    <w:rPr>
      <w:vertAlign w:val="superscript"/>
    </w:rPr>
  </w:style>
  <w:style w:type="paragraph" w:styleId="1013">
    <w:name w:val="toc 4"/>
    <w:basedOn w:val="844"/>
    <w:next w:val="844"/>
    <w:uiPriority w:val="39"/>
    <w:unhideWhenUsed/>
    <w:pPr>
      <w:pBdr/>
      <w:spacing w:after="100"/>
      <w:ind w:left="660"/>
    </w:pPr>
  </w:style>
  <w:style w:type="paragraph" w:styleId="1014">
    <w:name w:val="toc 5"/>
    <w:basedOn w:val="844"/>
    <w:next w:val="844"/>
    <w:uiPriority w:val="39"/>
    <w:unhideWhenUsed/>
    <w:pPr>
      <w:pBdr/>
      <w:spacing w:after="100"/>
      <w:ind w:left="880"/>
    </w:pPr>
  </w:style>
  <w:style w:type="paragraph" w:styleId="1015">
    <w:name w:val="toc 6"/>
    <w:basedOn w:val="844"/>
    <w:next w:val="844"/>
    <w:uiPriority w:val="39"/>
    <w:unhideWhenUsed/>
    <w:pPr>
      <w:pBdr/>
      <w:spacing w:after="100"/>
      <w:ind w:left="1100"/>
    </w:pPr>
  </w:style>
  <w:style w:type="paragraph" w:styleId="1016">
    <w:name w:val="toc 7"/>
    <w:basedOn w:val="844"/>
    <w:next w:val="844"/>
    <w:uiPriority w:val="39"/>
    <w:unhideWhenUsed/>
    <w:pPr>
      <w:pBdr/>
      <w:spacing w:after="100"/>
      <w:ind w:left="1320"/>
    </w:pPr>
  </w:style>
  <w:style w:type="paragraph" w:styleId="1017">
    <w:name w:val="toc 8"/>
    <w:basedOn w:val="844"/>
    <w:next w:val="844"/>
    <w:uiPriority w:val="39"/>
    <w:unhideWhenUsed/>
    <w:pPr>
      <w:pBdr/>
      <w:spacing w:after="100"/>
      <w:ind w:left="1540"/>
    </w:pPr>
  </w:style>
  <w:style w:type="paragraph" w:styleId="1018">
    <w:name w:val="toc 9"/>
    <w:basedOn w:val="844"/>
    <w:next w:val="844"/>
    <w:uiPriority w:val="39"/>
    <w:unhideWhenUsed/>
    <w:pPr>
      <w:pBdr/>
      <w:spacing w:after="100"/>
      <w:ind w:left="1760"/>
    </w:pPr>
  </w:style>
  <w:style w:type="paragraph" w:styleId="1019">
    <w:name w:val="table of figures"/>
    <w:basedOn w:val="844"/>
    <w:next w:val="844"/>
    <w:uiPriority w:val="99"/>
    <w:unhideWhenUsed/>
    <w:pPr>
      <w:pBdr/>
      <w:spacing w:after="0"/>
      <w:ind/>
    </w:pPr>
  </w:style>
  <w:style w:type="paragraph" w:styleId="1020" w:customStyle="1">
    <w:name w:val="Титул"/>
    <w:basedOn w:val="844"/>
    <w:pPr>
      <w:pBdr/>
      <w:spacing w:after="0" w:line="360" w:lineRule="auto"/>
      <w:ind w:firstLine="709"/>
      <w:contextualSpacing w:val="true"/>
      <w:jc w:val="center"/>
    </w:pPr>
    <w:rPr>
      <w:rFonts w:eastAsia="Times New Roman" w:cs="Times New Roman"/>
      <w:bCs/>
      <w:szCs w:val="20"/>
      <w:lang w:eastAsia="en-US"/>
    </w:rPr>
  </w:style>
  <w:style w:type="table" w:styleId="1021">
    <w:name w:val="Table Grid"/>
    <w:basedOn w:val="855"/>
    <w:uiPriority w:val="59"/>
    <w:qFormat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22">
    <w:name w:val="Hyperlink"/>
    <w:basedOn w:val="854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1023" w:customStyle="1">
    <w:name w:val="Неразрешенное упоминание1"/>
    <w:basedOn w:val="85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1024">
    <w:name w:val="Header"/>
    <w:basedOn w:val="844"/>
    <w:link w:val="102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25" w:customStyle="1">
    <w:name w:val="Верхний колонтитул Знак"/>
    <w:basedOn w:val="854"/>
    <w:link w:val="1024"/>
    <w:uiPriority w:val="99"/>
    <w:pPr>
      <w:pBdr/>
      <w:spacing/>
      <w:ind/>
    </w:pPr>
    <w:rPr>
      <w:rFonts w:ascii="Times New Roman" w:hAnsi="Times New Roman" w:eastAsiaTheme="minorEastAsia"/>
      <w:sz w:val="28"/>
      <w:lang w:eastAsia="ru-RU"/>
    </w:rPr>
  </w:style>
  <w:style w:type="paragraph" w:styleId="1026">
    <w:name w:val="Footer"/>
    <w:basedOn w:val="844"/>
    <w:link w:val="10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27" w:customStyle="1">
    <w:name w:val="Нижний колонтитул Знак"/>
    <w:basedOn w:val="854"/>
    <w:link w:val="1026"/>
    <w:uiPriority w:val="99"/>
    <w:pPr>
      <w:pBdr/>
      <w:spacing/>
      <w:ind/>
    </w:pPr>
    <w:rPr>
      <w:rFonts w:ascii="Times New Roman" w:hAnsi="Times New Roman" w:eastAsiaTheme="minorEastAsia"/>
      <w:sz w:val="28"/>
      <w:lang w:eastAsia="ru-RU"/>
    </w:rPr>
  </w:style>
  <w:style w:type="character" w:styleId="1028">
    <w:name w:val="FollowedHyperlink"/>
    <w:basedOn w:val="85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1029" w:customStyle="1">
    <w:name w:val="Заголовок 1 Знак"/>
    <w:basedOn w:val="854"/>
    <w:link w:val="845"/>
    <w:uiPriority w:val="9"/>
    <w:pPr>
      <w:pBdr/>
      <w:spacing/>
      <w:ind/>
    </w:pPr>
    <w:rPr>
      <w:rFonts w:ascii="Times New Roman" w:hAnsi="Times New Roman" w:cs="Times New Roman" w:eastAsiaTheme="majorEastAsia"/>
      <w:b/>
      <w:bCs/>
      <w:color w:val="000000" w:themeColor="text1"/>
      <w:sz w:val="28"/>
      <w:szCs w:val="28"/>
      <w:lang w:eastAsia="ru-RU"/>
    </w:rPr>
  </w:style>
  <w:style w:type="paragraph" w:styleId="1030">
    <w:name w:val="TOC Heading"/>
    <w:basedOn w:val="845"/>
    <w:next w:val="844"/>
    <w:uiPriority w:val="39"/>
    <w:unhideWhenUsed/>
    <w:qFormat/>
    <w:pPr>
      <w:pBdr/>
      <w:spacing w:line="259" w:lineRule="auto"/>
      <w:ind/>
      <w:outlineLvl w:val="9"/>
    </w:pPr>
  </w:style>
  <w:style w:type="paragraph" w:styleId="1031">
    <w:name w:val="toc 1"/>
    <w:basedOn w:val="844"/>
    <w:next w:val="844"/>
    <w:uiPriority w:val="39"/>
    <w:unhideWhenUsed/>
    <w:pPr>
      <w:pBdr/>
      <w:spacing w:after="100"/>
      <w:ind/>
    </w:pPr>
  </w:style>
  <w:style w:type="paragraph" w:styleId="1032">
    <w:name w:val="toc 2"/>
    <w:basedOn w:val="844"/>
    <w:next w:val="844"/>
    <w:uiPriority w:val="39"/>
    <w:unhideWhenUsed/>
    <w:pPr>
      <w:pBdr/>
      <w:spacing w:after="100"/>
      <w:ind w:left="280"/>
    </w:pPr>
  </w:style>
  <w:style w:type="character" w:styleId="1033" w:customStyle="1">
    <w:name w:val="Заголовок 4 Знак"/>
    <w:basedOn w:val="854"/>
    <w:link w:val="848"/>
    <w:uiPriority w:val="9"/>
    <w:pPr>
      <w:pBdr/>
      <w:spacing/>
      <w:ind/>
    </w:pPr>
    <w:rPr>
      <w:rFonts w:ascii="Times New Roman" w:hAnsi="Times New Roman" w:cs="Times New Roman" w:eastAsiaTheme="majorEastAsia"/>
      <w:bCs/>
      <w:i/>
      <w:color w:val="000000" w:themeColor="text1"/>
      <w:sz w:val="28"/>
      <w:szCs w:val="28"/>
      <w:lang w:eastAsia="ru-RU"/>
    </w:rPr>
  </w:style>
  <w:style w:type="character" w:styleId="1034" w:customStyle="1">
    <w:name w:val="Заголовок 2 Знак"/>
    <w:basedOn w:val="854"/>
    <w:link w:val="846"/>
    <w:uiPriority w:val="9"/>
    <w:pPr>
      <w:pBdr/>
      <w:spacing/>
      <w:ind/>
    </w:pPr>
    <w:rPr>
      <w:rFonts w:ascii="Times New Roman" w:hAnsi="Times New Roman" w:cs="Times New Roman" w:eastAsiaTheme="majorEastAsia"/>
      <w:b/>
      <w:bCs/>
      <w:color w:val="000000" w:themeColor="text1"/>
      <w:sz w:val="28"/>
      <w:szCs w:val="28"/>
      <w:lang w:eastAsia="ru-RU"/>
    </w:rPr>
  </w:style>
  <w:style w:type="paragraph" w:styleId="1035">
    <w:name w:val="List Paragraph"/>
    <w:basedOn w:val="844"/>
    <w:link w:val="1036"/>
    <w:uiPriority w:val="34"/>
    <w:qFormat/>
    <w:pPr>
      <w:pBdr/>
      <w:spacing w:after="0" w:line="360" w:lineRule="auto"/>
      <w:ind w:firstLine="709" w:left="720"/>
      <w:contextualSpacing w:val="true"/>
      <w:jc w:val="both"/>
    </w:pPr>
    <w:rPr>
      <w:rFonts w:eastAsiaTheme="minorHAnsi"/>
      <w:lang w:eastAsia="en-US"/>
    </w:rPr>
  </w:style>
  <w:style w:type="character" w:styleId="1036" w:customStyle="1">
    <w:name w:val="Абзац списка Знак"/>
    <w:link w:val="1035"/>
    <w:uiPriority w:val="34"/>
    <w:pPr>
      <w:pBdr/>
      <w:spacing/>
      <w:ind/>
    </w:pPr>
    <w:rPr>
      <w:rFonts w:ascii="Times New Roman" w:hAnsi="Times New Roman"/>
      <w:sz w:val="28"/>
    </w:rPr>
  </w:style>
  <w:style w:type="paragraph" w:styleId="1037">
    <w:name w:val="No Spacing"/>
    <w:uiPriority w:val="1"/>
    <w:qFormat/>
    <w:pPr>
      <w:pBdr/>
      <w:spacing w:after="0" w:line="240" w:lineRule="auto"/>
      <w:ind/>
    </w:pPr>
    <w:rPr>
      <w:rFonts w:ascii="Times New Roman" w:hAnsi="Times New Roman" w:eastAsiaTheme="minorEastAsia"/>
      <w:sz w:val="28"/>
      <w:lang w:eastAsia="ru-RU"/>
    </w:rPr>
  </w:style>
  <w:style w:type="character" w:styleId="1038">
    <w:name w:val="annotation reference"/>
    <w:basedOn w:val="854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039">
    <w:name w:val="annotation text"/>
    <w:basedOn w:val="844"/>
    <w:link w:val="1040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1040" w:customStyle="1">
    <w:name w:val="Текст примечания Знак"/>
    <w:basedOn w:val="854"/>
    <w:link w:val="1039"/>
    <w:uiPriority w:val="99"/>
    <w:semiHidden/>
    <w:pPr>
      <w:pBdr/>
      <w:spacing/>
      <w:ind/>
    </w:pPr>
    <w:rPr>
      <w:rFonts w:ascii="Times New Roman" w:hAnsi="Times New Roman" w:eastAsiaTheme="minorEastAsia"/>
      <w:sz w:val="20"/>
      <w:szCs w:val="20"/>
      <w:lang w:eastAsia="ru-RU"/>
    </w:rPr>
  </w:style>
  <w:style w:type="paragraph" w:styleId="1041">
    <w:name w:val="annotation subject"/>
    <w:basedOn w:val="1039"/>
    <w:next w:val="1039"/>
    <w:link w:val="1042"/>
    <w:uiPriority w:val="99"/>
    <w:semiHidden/>
    <w:unhideWhenUsed/>
    <w:pPr>
      <w:pBdr/>
      <w:spacing/>
      <w:ind/>
    </w:pPr>
    <w:rPr>
      <w:b/>
      <w:bCs/>
    </w:rPr>
  </w:style>
  <w:style w:type="character" w:styleId="1042" w:customStyle="1">
    <w:name w:val="Тема примечания Знак"/>
    <w:basedOn w:val="1040"/>
    <w:link w:val="1041"/>
    <w:uiPriority w:val="99"/>
    <w:semiHidden/>
    <w:pPr>
      <w:pBdr/>
      <w:spacing/>
      <w:ind/>
    </w:pPr>
    <w:rPr>
      <w:rFonts w:ascii="Times New Roman" w:hAnsi="Times New Roman" w:eastAsiaTheme="minorEastAsia"/>
      <w:b/>
      <w:bCs/>
      <w:sz w:val="20"/>
      <w:szCs w:val="20"/>
      <w:lang w:eastAsia="ru-RU"/>
    </w:rPr>
  </w:style>
  <w:style w:type="paragraph" w:styleId="1043">
    <w:name w:val="Balloon Text"/>
    <w:basedOn w:val="844"/>
    <w:link w:val="1044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1044" w:customStyle="1">
    <w:name w:val="Текст выноски Знак"/>
    <w:basedOn w:val="854"/>
    <w:link w:val="1043"/>
    <w:uiPriority w:val="99"/>
    <w:semiHidden/>
    <w:pPr>
      <w:pBdr/>
      <w:spacing/>
      <w:ind/>
    </w:pPr>
    <w:rPr>
      <w:rFonts w:ascii="Segoe UI" w:hAnsi="Segoe UI" w:cs="Segoe UI" w:eastAsiaTheme="minorEastAsia"/>
      <w:sz w:val="18"/>
      <w:szCs w:val="18"/>
      <w:lang w:eastAsia="ru-RU"/>
    </w:rPr>
  </w:style>
  <w:style w:type="character" w:styleId="1045" w:customStyle="1">
    <w:name w:val="Заголовок 3 Знак"/>
    <w:basedOn w:val="854"/>
    <w:link w:val="847"/>
    <w:uiPriority w:val="9"/>
    <w:pPr>
      <w:pBdr/>
      <w:spacing/>
      <w:ind/>
    </w:pPr>
    <w:rPr>
      <w:rFonts w:ascii="Times New Roman" w:hAnsi="Times New Roman" w:cs="Times New Roman" w:eastAsiaTheme="majorEastAsia"/>
      <w:b/>
      <w:bCs/>
      <w:i/>
      <w:color w:val="000000" w:themeColor="text1"/>
      <w:sz w:val="28"/>
      <w:szCs w:val="28"/>
      <w:lang w:eastAsia="ru-RU"/>
    </w:rPr>
  </w:style>
  <w:style w:type="paragraph" w:styleId="1046">
    <w:name w:val="toc 3"/>
    <w:basedOn w:val="844"/>
    <w:next w:val="844"/>
    <w:uiPriority w:val="39"/>
    <w:unhideWhenUsed/>
    <w:pPr>
      <w:pBdr/>
      <w:spacing w:after="100"/>
      <w:ind w:left="560"/>
    </w:pPr>
  </w:style>
  <w:style w:type="numbering" w:styleId="1047" w:customStyle="1">
    <w:name w:val="Текущий список1"/>
    <w:uiPriority w:val="99"/>
    <w:pPr>
      <w:pBdr/>
      <w:spacing/>
      <w:ind/>
    </w:pPr>
  </w:style>
  <w:style w:type="paragraph" w:styleId="1048">
    <w:name w:val="Caption"/>
    <w:basedOn w:val="844"/>
    <w:next w:val="844"/>
    <w:uiPriority w:val="35"/>
    <w:unhideWhenUsed/>
    <w:qFormat/>
    <w:pPr>
      <w:pBdr/>
      <w:spacing w:line="240" w:lineRule="auto"/>
      <w:ind w:firstLine="709"/>
      <w:jc w:val="both"/>
    </w:pPr>
    <w:rPr>
      <w:i/>
      <w:iCs/>
      <w:color w:val="1f497d" w:themeColor="text2"/>
      <w:sz w:val="18"/>
      <w:szCs w:val="18"/>
    </w:rPr>
  </w:style>
  <w:style w:type="character" w:styleId="1049" w:customStyle="1">
    <w:name w:val="Заголовок 5 Знак"/>
    <w:basedOn w:val="854"/>
    <w:link w:val="849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365f91" w:themeColor="accent1" w:themeShade="BF"/>
      <w:sz w:val="28"/>
      <w:lang w:eastAsia="ru-RU"/>
    </w:rPr>
  </w:style>
  <w:style w:type="character" w:styleId="1050" w:customStyle="1">
    <w:name w:val="Заголовок 6 Знак"/>
    <w:basedOn w:val="854"/>
    <w:link w:val="850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43f60" w:themeColor="accent1" w:themeShade="7F"/>
      <w:sz w:val="28"/>
      <w:lang w:eastAsia="ru-RU"/>
    </w:rPr>
  </w:style>
  <w:style w:type="character" w:styleId="1051" w:customStyle="1">
    <w:name w:val="Заголовок 7 Знак"/>
    <w:basedOn w:val="854"/>
    <w:link w:val="851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243f60" w:themeColor="accent1" w:themeShade="7F"/>
      <w:sz w:val="28"/>
      <w:lang w:eastAsia="ru-RU"/>
    </w:rPr>
  </w:style>
  <w:style w:type="character" w:styleId="1052" w:customStyle="1">
    <w:name w:val="Заголовок 8 Знак"/>
    <w:basedOn w:val="854"/>
    <w:link w:val="852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ru-RU"/>
    </w:rPr>
  </w:style>
  <w:style w:type="character" w:styleId="1053" w:customStyle="1">
    <w:name w:val="Заголовок 9 Знак"/>
    <w:basedOn w:val="854"/>
    <w:link w:val="853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ru-RU"/>
    </w:rPr>
  </w:style>
  <w:style w:type="table" w:styleId="1054" w:customStyle="1">
    <w:name w:val="Table Normal"/>
    <w:uiPriority w:val="2"/>
    <w:semiHidden/>
    <w:unhideWhenUsed/>
    <w:qFormat/>
    <w:pPr>
      <w:widowControl w:val="false"/>
      <w:pBdr/>
      <w:spacing w:after="0" w:line="240" w:lineRule="auto"/>
      <w:ind/>
    </w:pPr>
    <w:rPr>
      <w:sz w:val="20"/>
      <w:szCs w:val="20"/>
      <w:lang w:val="en-US" w:eastAsia="ru-RU"/>
    </w:r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55" w:customStyle="1">
    <w:name w:val="Table"/>
    <w:basedOn w:val="844"/>
    <w:uiPriority w:val="1"/>
    <w:qFormat/>
    <w:pPr>
      <w:pBdr/>
      <w:spacing w:after="0" w:line="240" w:lineRule="auto"/>
      <w:ind/>
    </w:pPr>
    <w:rPr>
      <w:rFonts w:eastAsia="Calibri"/>
      <w:color w:val="000000"/>
      <w:sz w:val="24"/>
    </w:rPr>
  </w:style>
  <w:style w:type="character" w:styleId="1056">
    <w:name w:val="Placeholder Text"/>
    <w:basedOn w:val="854"/>
    <w:uiPriority w:val="99"/>
    <w:semiHidden/>
    <w:pPr>
      <w:pBdr/>
      <w:spacing/>
      <w:ind/>
    </w:pPr>
    <w:rPr>
      <w:color w:val="666666"/>
    </w:rPr>
  </w:style>
  <w:style w:type="character" w:styleId="1057">
    <w:name w:val="Unresolved Mention"/>
    <w:basedOn w:val="85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1058">
    <w:name w:val="Normal (Web)"/>
    <w:basedOn w:val="844"/>
    <w:uiPriority w:val="99"/>
    <w:unhideWhenUsed/>
    <w:pPr>
      <w:pBdr/>
      <w:spacing w:after="100" w:afterAutospacing="1" w:before="100" w:beforeAutospacing="1" w:line="240" w:lineRule="auto"/>
      <w:ind/>
    </w:pPr>
    <w:rPr>
      <w:rFonts w:eastAsia="Times New Roman" w:cs="Times New Roman"/>
      <w:sz w:val="24"/>
      <w:szCs w:val="24"/>
    </w:rPr>
  </w:style>
  <w:style w:type="paragraph" w:styleId="1059" w:customStyle="1">
    <w:name w:val="Базовый"/>
    <w:basedOn w:val="844"/>
    <w:next w:val="844"/>
    <w:qFormat/>
    <w:pPr>
      <w:pBdr/>
      <w:spacing w:after="0" w:line="360" w:lineRule="auto"/>
      <w:ind w:firstLine="709"/>
      <w:contextualSpacing w:val="true"/>
      <w:jc w:val="both"/>
    </w:pPr>
  </w:style>
  <w:style w:type="paragraph" w:styleId="1060" w:customStyle="1">
    <w:name w:val="Название таблиц"/>
    <w:basedOn w:val="844"/>
    <w:link w:val="1061"/>
    <w:qFormat/>
    <w:pPr>
      <w:pBdr/>
      <w:spacing w:after="0" w:line="360" w:lineRule="auto"/>
      <w:ind/>
      <w:jc w:val="both"/>
    </w:pPr>
    <w:rPr>
      <w:sz w:val="24"/>
      <w:szCs w:val="20"/>
    </w:rPr>
  </w:style>
  <w:style w:type="character" w:styleId="1061" w:customStyle="1">
    <w:name w:val="Название таблиц Знак"/>
    <w:basedOn w:val="854"/>
    <w:link w:val="1060"/>
    <w:pPr>
      <w:pBdr/>
      <w:spacing/>
      <w:ind/>
    </w:pPr>
    <w:rPr>
      <w:rFonts w:ascii="Times New Roman" w:hAnsi="Times New Roman" w:eastAsiaTheme="minorEastAsia"/>
      <w:sz w:val="24"/>
      <w:szCs w:val="20"/>
      <w:lang w:eastAsia="ru-RU"/>
    </w:rPr>
  </w:style>
  <w:style w:type="character" w:styleId="1062" w:customStyle="1">
    <w:name w:val="vlist-s"/>
    <w:basedOn w:val="854"/>
    <w:pPr>
      <w:pBdr/>
      <w:spacing/>
      <w:ind/>
    </w:pPr>
  </w:style>
  <w:style w:type="character" w:styleId="1063">
    <w:name w:val="Strong"/>
    <w:basedOn w:val="854"/>
    <w:uiPriority w:val="22"/>
    <w:qFormat/>
    <w:pPr>
      <w:pBdr/>
      <w:spacing/>
      <w:ind/>
    </w:pPr>
    <w:rPr>
      <w:b/>
      <w:bCs/>
    </w:rPr>
  </w:style>
  <w:style w:type="paragraph" w:styleId="1064" w:customStyle="1">
    <w:name w:val="text"/>
    <w:basedOn w:val="844"/>
    <w:link w:val="1065"/>
    <w:qFormat/>
    <w:pPr>
      <w:pBdr/>
      <w:spacing w:after="0" w:line="360" w:lineRule="auto"/>
      <w:ind w:firstLine="709"/>
      <w:contextualSpacing w:val="true"/>
      <w:jc w:val="both"/>
    </w:pPr>
    <w:rPr>
      <w:rFonts w:eastAsia="Times New Roman" w:cs="Times New Roman"/>
      <w:bCs/>
      <w:szCs w:val="24"/>
      <w:lang w:eastAsia="en-US"/>
    </w:rPr>
  </w:style>
  <w:style w:type="character" w:styleId="1065" w:customStyle="1">
    <w:name w:val="text Знак"/>
    <w:basedOn w:val="854"/>
    <w:link w:val="1064"/>
    <w:pPr>
      <w:pBdr/>
      <w:spacing/>
      <w:ind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1066">
    <w:name w:val="Bibliography"/>
    <w:basedOn w:val="844"/>
    <w:next w:val="844"/>
    <w:uiPriority w:val="37"/>
    <w:unhideWhenUsed/>
    <w:pPr>
      <w:pBdr/>
      <w:spacing w:after="240" w:line="240" w:lineRule="auto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B07EC5DE-C15F-4B9D-9489-3099541634D4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ada-win</dc:creator>
  <cp:revision>1010</cp:revision>
  <dcterms:created xsi:type="dcterms:W3CDTF">2019-02-04T15:26:00Z</dcterms:created>
  <dcterms:modified xsi:type="dcterms:W3CDTF">2026-05-06T12:40:21Z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zotero-version="9.0.2"&gt;&lt;session id="jEJg5IV8"/&gt;&lt;style id="http://www.zotero.org/styles/russian-gost-r-70100-2018-sto-sgugit-numeric-citations-alphabetic-order" locale="ru-RU" hasBibliography="1" bibliographyStyleHasBeenSet="1"/&gt;&lt;pre</vt:lpwstr>
  </property>
  <property fmtid="{D5CDD505-2E9C-101B-9397-08002B2CF9AE}" pid="3" name="ZOTERO_PREF_2">
    <vt:lpwstr>fs&gt;&lt;pref name="fieldType" value="Field"/&gt;&lt;pref name="automaticJournalAbbreviations" value="true"/&gt;&lt;/prefs&gt;&lt;/data&gt;</vt:lpwstr>
  </property>
</Properties>
</file>